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1F4043" w14:textId="77777777" w:rsidR="00BB2342" w:rsidRDefault="00000000">
      <w:pPr>
        <w:pStyle w:val="SupplementaryMaterial"/>
        <w:spacing w:line="480" w:lineRule="auto"/>
        <w:rPr>
          <w:rFonts w:ascii="Arial" w:hAnsi="Arial" w:cs="Arial"/>
          <w:b w:val="0"/>
          <w:sz w:val="20"/>
          <w:szCs w:val="20"/>
        </w:rPr>
      </w:pPr>
      <w:r>
        <w:rPr>
          <w:rFonts w:ascii="Arial" w:hAnsi="Arial" w:cs="Arial"/>
          <w:sz w:val="20"/>
          <w:szCs w:val="20"/>
        </w:rPr>
        <w:t>Supplementary Material</w:t>
      </w:r>
    </w:p>
    <w:p w14:paraId="4DF11C9C" w14:textId="77777777" w:rsidR="00BB2342" w:rsidRDefault="00000000">
      <w:pPr>
        <w:pStyle w:val="Heading1"/>
        <w:spacing w:line="480" w:lineRule="auto"/>
        <w:rPr>
          <w:rFonts w:ascii="Arial" w:hAnsi="Arial" w:cs="Arial"/>
          <w:sz w:val="20"/>
          <w:szCs w:val="20"/>
        </w:rPr>
      </w:pPr>
      <w:r>
        <w:rPr>
          <w:rFonts w:ascii="Arial" w:hAnsi="Arial" w:cs="Arial"/>
          <w:sz w:val="20"/>
          <w:szCs w:val="20"/>
        </w:rPr>
        <w:t>Supplementary Tables</w:t>
      </w:r>
    </w:p>
    <w:p w14:paraId="35E37772" w14:textId="77777777" w:rsidR="00BB2342" w:rsidRDefault="00000000">
      <w:pPr>
        <w:spacing w:line="480" w:lineRule="auto"/>
        <w:rPr>
          <w:rFonts w:ascii="Arial" w:hAnsi="Arial" w:cs="Arial"/>
          <w:sz w:val="20"/>
          <w:szCs w:val="20"/>
        </w:rPr>
      </w:pPr>
      <w:r>
        <w:rPr>
          <w:rFonts w:ascii="Arial" w:hAnsi="Arial" w:cs="Arial"/>
          <w:b/>
          <w:bCs/>
          <w:sz w:val="20"/>
          <w:szCs w:val="20"/>
        </w:rPr>
        <w:t xml:space="preserve">Table S2 </w:t>
      </w:r>
      <w:r>
        <w:rPr>
          <w:rFonts w:ascii="Arial" w:hAnsi="Arial" w:cs="Arial"/>
          <w:sz w:val="20"/>
          <w:szCs w:val="20"/>
        </w:rPr>
        <w:t>Basic demographic information</w:t>
      </w:r>
    </w:p>
    <w:tbl>
      <w:tblPr>
        <w:tblW w:w="5000" w:type="pct"/>
        <w:tblLook w:val="04A0" w:firstRow="1" w:lastRow="0" w:firstColumn="1" w:lastColumn="0" w:noHBand="0" w:noVBand="1"/>
      </w:tblPr>
      <w:tblGrid>
        <w:gridCol w:w="2050"/>
        <w:gridCol w:w="1838"/>
        <w:gridCol w:w="1400"/>
        <w:gridCol w:w="2561"/>
        <w:gridCol w:w="1928"/>
      </w:tblGrid>
      <w:tr w:rsidR="00BB2342" w14:paraId="7245D809" w14:textId="77777777">
        <w:trPr>
          <w:trHeight w:val="288"/>
        </w:trPr>
        <w:tc>
          <w:tcPr>
            <w:tcW w:w="1103" w:type="pct"/>
            <w:tcBorders>
              <w:top w:val="single" w:sz="4" w:space="0" w:color="auto"/>
              <w:bottom w:val="single" w:sz="4" w:space="0" w:color="auto"/>
            </w:tcBorders>
            <w:shd w:val="clear" w:color="auto" w:fill="auto"/>
            <w:noWrap/>
          </w:tcPr>
          <w:p w14:paraId="726A2408" w14:textId="77777777" w:rsidR="00BB2342" w:rsidRDefault="00000000">
            <w:pPr>
              <w:spacing w:before="0" w:after="0" w:line="480" w:lineRule="auto"/>
              <w:rPr>
                <w:rFonts w:ascii="Arial" w:eastAsia="Times New Roman" w:hAnsi="Arial" w:cs="Arial"/>
                <w:b/>
                <w:bCs/>
                <w:color w:val="000000"/>
                <w:sz w:val="20"/>
                <w:szCs w:val="20"/>
                <w:lang w:eastAsia="en-IN"/>
              </w:rPr>
            </w:pPr>
            <w:r>
              <w:rPr>
                <w:rFonts w:ascii="Arial" w:eastAsia="Times New Roman" w:hAnsi="Arial" w:cs="Arial"/>
                <w:b/>
                <w:bCs/>
                <w:color w:val="000000"/>
                <w:sz w:val="20"/>
                <w:szCs w:val="20"/>
                <w:lang w:eastAsia="en-IN"/>
              </w:rPr>
              <w:t>Characteristics</w:t>
            </w:r>
          </w:p>
        </w:tc>
        <w:tc>
          <w:tcPr>
            <w:tcW w:w="994" w:type="pct"/>
            <w:tcBorders>
              <w:top w:val="single" w:sz="4" w:space="0" w:color="auto"/>
              <w:bottom w:val="single" w:sz="4" w:space="0" w:color="auto"/>
            </w:tcBorders>
            <w:shd w:val="clear" w:color="auto" w:fill="auto"/>
            <w:noWrap/>
          </w:tcPr>
          <w:p w14:paraId="6CF53C04" w14:textId="77777777" w:rsidR="00BB2342" w:rsidRDefault="00000000">
            <w:pPr>
              <w:spacing w:before="0" w:after="0" w:line="480" w:lineRule="auto"/>
              <w:rPr>
                <w:rFonts w:ascii="Arial" w:eastAsia="Times New Roman" w:hAnsi="Arial" w:cs="Arial"/>
                <w:b/>
                <w:bCs/>
                <w:color w:val="000000"/>
                <w:sz w:val="20"/>
                <w:szCs w:val="20"/>
                <w:lang w:eastAsia="en-IN"/>
              </w:rPr>
            </w:pPr>
            <w:r>
              <w:rPr>
                <w:rFonts w:ascii="Arial" w:eastAsia="Times New Roman" w:hAnsi="Arial" w:cs="Arial"/>
                <w:b/>
                <w:bCs/>
                <w:color w:val="000000"/>
                <w:sz w:val="20"/>
                <w:szCs w:val="20"/>
                <w:lang w:eastAsia="en-IN"/>
              </w:rPr>
              <w:t>Normal</w:t>
            </w:r>
          </w:p>
        </w:tc>
        <w:tc>
          <w:tcPr>
            <w:tcW w:w="770" w:type="pct"/>
            <w:tcBorders>
              <w:top w:val="single" w:sz="4" w:space="0" w:color="auto"/>
              <w:bottom w:val="single" w:sz="4" w:space="0" w:color="auto"/>
            </w:tcBorders>
            <w:shd w:val="clear" w:color="auto" w:fill="auto"/>
            <w:noWrap/>
          </w:tcPr>
          <w:p w14:paraId="170C6210" w14:textId="77777777" w:rsidR="00BB2342" w:rsidRDefault="00000000">
            <w:pPr>
              <w:spacing w:before="0" w:after="0" w:line="480" w:lineRule="auto"/>
              <w:rPr>
                <w:rFonts w:ascii="Arial" w:eastAsia="Times New Roman" w:hAnsi="Arial" w:cs="Arial"/>
                <w:b/>
                <w:bCs/>
                <w:color w:val="000000"/>
                <w:sz w:val="20"/>
                <w:szCs w:val="20"/>
                <w:lang w:eastAsia="en-IN"/>
              </w:rPr>
            </w:pPr>
            <w:r>
              <w:rPr>
                <w:rFonts w:ascii="Arial" w:eastAsia="Times New Roman" w:hAnsi="Arial" w:cs="Arial"/>
                <w:b/>
                <w:bCs/>
                <w:color w:val="000000"/>
                <w:sz w:val="20"/>
                <w:szCs w:val="20"/>
                <w:lang w:eastAsia="en-IN"/>
              </w:rPr>
              <w:t>CAD</w:t>
            </w:r>
          </w:p>
        </w:tc>
        <w:tc>
          <w:tcPr>
            <w:tcW w:w="1364" w:type="pct"/>
            <w:tcBorders>
              <w:top w:val="single" w:sz="4" w:space="0" w:color="auto"/>
              <w:bottom w:val="single" w:sz="4" w:space="0" w:color="auto"/>
            </w:tcBorders>
            <w:shd w:val="clear" w:color="auto" w:fill="auto"/>
            <w:noWrap/>
          </w:tcPr>
          <w:p w14:paraId="511AB5FC" w14:textId="77777777" w:rsidR="00BB2342" w:rsidRDefault="00000000">
            <w:pPr>
              <w:spacing w:before="0" w:after="0" w:line="480" w:lineRule="auto"/>
              <w:rPr>
                <w:rFonts w:ascii="Arial" w:eastAsia="Times New Roman" w:hAnsi="Arial" w:cs="Arial"/>
                <w:b/>
                <w:bCs/>
                <w:color w:val="000000"/>
                <w:sz w:val="20"/>
                <w:szCs w:val="20"/>
                <w:lang w:eastAsia="en-IN"/>
              </w:rPr>
            </w:pPr>
            <w:r>
              <w:rPr>
                <w:rFonts w:ascii="Arial" w:eastAsia="SimSun" w:hAnsi="Arial" w:cs="Arial"/>
                <w:b/>
                <w:bCs/>
                <w:i/>
                <w:iCs/>
                <w:sz w:val="20"/>
                <w:szCs w:val="20"/>
              </w:rPr>
              <w:t>P</w:t>
            </w:r>
            <w:r>
              <w:rPr>
                <w:rFonts w:ascii="Arial" w:eastAsia="SimSun" w:hAnsi="Arial" w:cs="Arial"/>
                <w:b/>
                <w:bCs/>
                <w:iCs/>
                <w:sz w:val="20"/>
                <w:szCs w:val="20"/>
              </w:rPr>
              <w:t>-</w:t>
            </w:r>
            <w:r>
              <w:rPr>
                <w:rFonts w:ascii="Arial" w:eastAsia="SimSun" w:hAnsi="Arial" w:cs="Arial"/>
                <w:b/>
                <w:bCs/>
                <w:sz w:val="20"/>
                <w:szCs w:val="20"/>
              </w:rPr>
              <w:t>value</w:t>
            </w:r>
          </w:p>
        </w:tc>
        <w:tc>
          <w:tcPr>
            <w:tcW w:w="770" w:type="pct"/>
            <w:tcBorders>
              <w:top w:val="single" w:sz="4" w:space="0" w:color="auto"/>
              <w:bottom w:val="single" w:sz="4" w:space="0" w:color="auto"/>
            </w:tcBorders>
            <w:shd w:val="clear" w:color="auto" w:fill="auto"/>
            <w:noWrap/>
          </w:tcPr>
          <w:p w14:paraId="08C46AE7" w14:textId="77777777" w:rsidR="00BB2342" w:rsidRDefault="00000000">
            <w:pPr>
              <w:spacing w:before="0" w:after="0" w:line="480" w:lineRule="auto"/>
              <w:rPr>
                <w:rFonts w:ascii="Arial" w:eastAsia="Times New Roman" w:hAnsi="Arial" w:cs="Arial"/>
                <w:b/>
                <w:bCs/>
                <w:color w:val="000000"/>
                <w:sz w:val="20"/>
                <w:szCs w:val="20"/>
                <w:lang w:eastAsia="en-IN"/>
              </w:rPr>
            </w:pPr>
            <w:r>
              <w:rPr>
                <w:rFonts w:ascii="Arial" w:eastAsia="Times New Roman" w:hAnsi="Arial" w:cs="Arial"/>
                <w:b/>
                <w:bCs/>
                <w:color w:val="000000"/>
                <w:sz w:val="20"/>
                <w:szCs w:val="20"/>
                <w:lang w:eastAsia="en-IN"/>
              </w:rPr>
              <w:t>Statistical Method</w:t>
            </w:r>
          </w:p>
        </w:tc>
      </w:tr>
      <w:tr w:rsidR="00BB2342" w14:paraId="35A50F30" w14:textId="77777777">
        <w:trPr>
          <w:trHeight w:val="288"/>
        </w:trPr>
        <w:tc>
          <w:tcPr>
            <w:tcW w:w="1103" w:type="pct"/>
            <w:tcBorders>
              <w:top w:val="single" w:sz="4" w:space="0" w:color="auto"/>
            </w:tcBorders>
            <w:shd w:val="clear" w:color="auto" w:fill="auto"/>
            <w:noWrap/>
          </w:tcPr>
          <w:p w14:paraId="7C7DD357"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n</w:t>
            </w:r>
          </w:p>
        </w:tc>
        <w:tc>
          <w:tcPr>
            <w:tcW w:w="994" w:type="pct"/>
            <w:tcBorders>
              <w:top w:val="single" w:sz="4" w:space="0" w:color="auto"/>
            </w:tcBorders>
            <w:shd w:val="clear" w:color="auto" w:fill="auto"/>
            <w:noWrap/>
          </w:tcPr>
          <w:p w14:paraId="0221BD66"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10</w:t>
            </w:r>
          </w:p>
        </w:tc>
        <w:tc>
          <w:tcPr>
            <w:tcW w:w="770" w:type="pct"/>
            <w:tcBorders>
              <w:top w:val="single" w:sz="4" w:space="0" w:color="auto"/>
            </w:tcBorders>
            <w:shd w:val="clear" w:color="auto" w:fill="auto"/>
            <w:noWrap/>
          </w:tcPr>
          <w:p w14:paraId="636BB138"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10</w:t>
            </w:r>
          </w:p>
        </w:tc>
        <w:tc>
          <w:tcPr>
            <w:tcW w:w="1364" w:type="pct"/>
            <w:tcBorders>
              <w:top w:val="single" w:sz="4" w:space="0" w:color="auto"/>
            </w:tcBorders>
            <w:shd w:val="clear" w:color="auto" w:fill="auto"/>
            <w:noWrap/>
          </w:tcPr>
          <w:p w14:paraId="357A8FE8" w14:textId="77777777" w:rsidR="00BB2342" w:rsidRDefault="00BB2342">
            <w:pPr>
              <w:spacing w:before="0" w:after="0" w:line="480" w:lineRule="auto"/>
              <w:rPr>
                <w:rFonts w:ascii="Arial" w:eastAsia="Times New Roman" w:hAnsi="Arial" w:cs="Arial"/>
                <w:color w:val="000000"/>
                <w:sz w:val="20"/>
                <w:szCs w:val="20"/>
                <w:lang w:eastAsia="en-IN"/>
              </w:rPr>
            </w:pPr>
          </w:p>
        </w:tc>
        <w:tc>
          <w:tcPr>
            <w:tcW w:w="770" w:type="pct"/>
            <w:tcBorders>
              <w:top w:val="single" w:sz="4" w:space="0" w:color="auto"/>
            </w:tcBorders>
            <w:shd w:val="clear" w:color="auto" w:fill="auto"/>
            <w:noWrap/>
          </w:tcPr>
          <w:p w14:paraId="39EF8A9A" w14:textId="77777777" w:rsidR="00BB2342" w:rsidRDefault="00BB2342">
            <w:pPr>
              <w:spacing w:before="0" w:after="0" w:line="480" w:lineRule="auto"/>
              <w:rPr>
                <w:rFonts w:ascii="Arial" w:eastAsia="Times New Roman" w:hAnsi="Arial" w:cs="Arial"/>
                <w:sz w:val="20"/>
                <w:szCs w:val="20"/>
                <w:lang w:eastAsia="en-IN"/>
              </w:rPr>
            </w:pPr>
          </w:p>
        </w:tc>
      </w:tr>
      <w:tr w:rsidR="00BB2342" w14:paraId="0C8BE1A4" w14:textId="77777777">
        <w:trPr>
          <w:trHeight w:val="288"/>
        </w:trPr>
        <w:tc>
          <w:tcPr>
            <w:tcW w:w="1103" w:type="pct"/>
            <w:shd w:val="clear" w:color="auto" w:fill="auto"/>
            <w:noWrap/>
          </w:tcPr>
          <w:p w14:paraId="184464BB"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sex, n (%)</w:t>
            </w:r>
          </w:p>
        </w:tc>
        <w:tc>
          <w:tcPr>
            <w:tcW w:w="994" w:type="pct"/>
            <w:shd w:val="clear" w:color="auto" w:fill="auto"/>
            <w:noWrap/>
          </w:tcPr>
          <w:p w14:paraId="12D90791" w14:textId="77777777" w:rsidR="00BB2342" w:rsidRDefault="00BB2342">
            <w:pPr>
              <w:spacing w:before="0" w:after="0" w:line="480" w:lineRule="auto"/>
              <w:rPr>
                <w:rFonts w:ascii="Arial" w:eastAsia="Times New Roman" w:hAnsi="Arial" w:cs="Arial"/>
                <w:color w:val="000000"/>
                <w:sz w:val="20"/>
                <w:szCs w:val="20"/>
                <w:lang w:eastAsia="en-IN"/>
              </w:rPr>
            </w:pPr>
          </w:p>
        </w:tc>
        <w:tc>
          <w:tcPr>
            <w:tcW w:w="770" w:type="pct"/>
            <w:shd w:val="clear" w:color="auto" w:fill="auto"/>
            <w:noWrap/>
          </w:tcPr>
          <w:p w14:paraId="2B0410E8" w14:textId="77777777" w:rsidR="00BB2342" w:rsidRDefault="00BB2342">
            <w:pPr>
              <w:spacing w:before="0" w:after="0" w:line="480" w:lineRule="auto"/>
              <w:rPr>
                <w:rFonts w:ascii="Arial" w:eastAsia="Times New Roman" w:hAnsi="Arial" w:cs="Arial"/>
                <w:sz w:val="20"/>
                <w:szCs w:val="20"/>
                <w:lang w:eastAsia="en-IN"/>
              </w:rPr>
            </w:pPr>
          </w:p>
        </w:tc>
        <w:tc>
          <w:tcPr>
            <w:tcW w:w="1364" w:type="pct"/>
            <w:shd w:val="clear" w:color="auto" w:fill="auto"/>
            <w:noWrap/>
          </w:tcPr>
          <w:p w14:paraId="560955D8"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1</w:t>
            </w:r>
          </w:p>
        </w:tc>
        <w:tc>
          <w:tcPr>
            <w:tcW w:w="770" w:type="pct"/>
            <w:shd w:val="clear" w:color="auto" w:fill="auto"/>
            <w:noWrap/>
          </w:tcPr>
          <w:p w14:paraId="3F2F16D6"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Fisher test</w:t>
            </w:r>
          </w:p>
        </w:tc>
      </w:tr>
      <w:tr w:rsidR="00BB2342" w14:paraId="381CE3D0" w14:textId="77777777">
        <w:trPr>
          <w:trHeight w:val="288"/>
        </w:trPr>
        <w:tc>
          <w:tcPr>
            <w:tcW w:w="1103" w:type="pct"/>
            <w:shd w:val="clear" w:color="auto" w:fill="auto"/>
            <w:noWrap/>
          </w:tcPr>
          <w:p w14:paraId="6D5C1882"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male</w:t>
            </w:r>
          </w:p>
        </w:tc>
        <w:tc>
          <w:tcPr>
            <w:tcW w:w="994" w:type="pct"/>
            <w:shd w:val="clear" w:color="auto" w:fill="auto"/>
            <w:noWrap/>
          </w:tcPr>
          <w:p w14:paraId="01251B75"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5 (25%)</w:t>
            </w:r>
          </w:p>
        </w:tc>
        <w:tc>
          <w:tcPr>
            <w:tcW w:w="770" w:type="pct"/>
            <w:shd w:val="clear" w:color="auto" w:fill="auto"/>
            <w:noWrap/>
          </w:tcPr>
          <w:p w14:paraId="079AFE19"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5 (25%)</w:t>
            </w:r>
          </w:p>
        </w:tc>
        <w:tc>
          <w:tcPr>
            <w:tcW w:w="1364" w:type="pct"/>
            <w:shd w:val="clear" w:color="auto" w:fill="auto"/>
            <w:noWrap/>
          </w:tcPr>
          <w:p w14:paraId="6012A719" w14:textId="77777777" w:rsidR="00BB2342" w:rsidRDefault="00BB2342">
            <w:pPr>
              <w:spacing w:before="0" w:after="0" w:line="480" w:lineRule="auto"/>
              <w:rPr>
                <w:rFonts w:ascii="Arial" w:eastAsia="Times New Roman" w:hAnsi="Arial" w:cs="Arial"/>
                <w:color w:val="000000"/>
                <w:sz w:val="20"/>
                <w:szCs w:val="20"/>
                <w:lang w:eastAsia="en-IN"/>
              </w:rPr>
            </w:pPr>
          </w:p>
        </w:tc>
        <w:tc>
          <w:tcPr>
            <w:tcW w:w="770" w:type="pct"/>
            <w:shd w:val="clear" w:color="auto" w:fill="auto"/>
            <w:noWrap/>
          </w:tcPr>
          <w:p w14:paraId="46A16141" w14:textId="77777777" w:rsidR="00BB2342" w:rsidRDefault="00BB2342">
            <w:pPr>
              <w:spacing w:before="0" w:after="0" w:line="480" w:lineRule="auto"/>
              <w:rPr>
                <w:rFonts w:ascii="Arial" w:eastAsia="Times New Roman" w:hAnsi="Arial" w:cs="Arial"/>
                <w:sz w:val="20"/>
                <w:szCs w:val="20"/>
                <w:lang w:eastAsia="en-IN"/>
              </w:rPr>
            </w:pPr>
          </w:p>
        </w:tc>
      </w:tr>
      <w:tr w:rsidR="00BB2342" w14:paraId="7323E73C" w14:textId="77777777">
        <w:trPr>
          <w:trHeight w:val="288"/>
        </w:trPr>
        <w:tc>
          <w:tcPr>
            <w:tcW w:w="1103" w:type="pct"/>
            <w:shd w:val="clear" w:color="auto" w:fill="auto"/>
            <w:noWrap/>
          </w:tcPr>
          <w:p w14:paraId="475C7D4D"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female</w:t>
            </w:r>
          </w:p>
        </w:tc>
        <w:tc>
          <w:tcPr>
            <w:tcW w:w="994" w:type="pct"/>
            <w:shd w:val="clear" w:color="auto" w:fill="auto"/>
            <w:noWrap/>
          </w:tcPr>
          <w:p w14:paraId="423FCB8A"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5 (25%)</w:t>
            </w:r>
          </w:p>
        </w:tc>
        <w:tc>
          <w:tcPr>
            <w:tcW w:w="770" w:type="pct"/>
            <w:shd w:val="clear" w:color="auto" w:fill="auto"/>
            <w:noWrap/>
          </w:tcPr>
          <w:p w14:paraId="24703B6F"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5 (25%)</w:t>
            </w:r>
          </w:p>
        </w:tc>
        <w:tc>
          <w:tcPr>
            <w:tcW w:w="1364" w:type="pct"/>
            <w:shd w:val="clear" w:color="auto" w:fill="auto"/>
            <w:noWrap/>
          </w:tcPr>
          <w:p w14:paraId="00A4E40D" w14:textId="77777777" w:rsidR="00BB2342" w:rsidRDefault="00BB2342">
            <w:pPr>
              <w:spacing w:before="0" w:after="0" w:line="480" w:lineRule="auto"/>
              <w:rPr>
                <w:rFonts w:ascii="Arial" w:eastAsia="Times New Roman" w:hAnsi="Arial" w:cs="Arial"/>
                <w:color w:val="000000"/>
                <w:sz w:val="20"/>
                <w:szCs w:val="20"/>
                <w:lang w:eastAsia="en-IN"/>
              </w:rPr>
            </w:pPr>
          </w:p>
        </w:tc>
        <w:tc>
          <w:tcPr>
            <w:tcW w:w="770" w:type="pct"/>
            <w:shd w:val="clear" w:color="auto" w:fill="auto"/>
            <w:noWrap/>
          </w:tcPr>
          <w:p w14:paraId="50CD6837" w14:textId="77777777" w:rsidR="00BB2342" w:rsidRDefault="00BB2342">
            <w:pPr>
              <w:spacing w:before="0" w:after="0" w:line="480" w:lineRule="auto"/>
              <w:rPr>
                <w:rFonts w:ascii="Arial" w:eastAsia="Times New Roman" w:hAnsi="Arial" w:cs="Arial"/>
                <w:sz w:val="20"/>
                <w:szCs w:val="20"/>
                <w:lang w:eastAsia="en-IN"/>
              </w:rPr>
            </w:pPr>
          </w:p>
        </w:tc>
      </w:tr>
      <w:tr w:rsidR="00BB2342" w14:paraId="783B523F" w14:textId="77777777">
        <w:trPr>
          <w:trHeight w:val="288"/>
        </w:trPr>
        <w:tc>
          <w:tcPr>
            <w:tcW w:w="1103" w:type="pct"/>
            <w:tcBorders>
              <w:bottom w:val="single" w:sz="4" w:space="0" w:color="auto"/>
            </w:tcBorders>
            <w:shd w:val="clear" w:color="auto" w:fill="auto"/>
            <w:noWrap/>
          </w:tcPr>
          <w:p w14:paraId="436AEB9F"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age, median (IQR)</w:t>
            </w:r>
          </w:p>
        </w:tc>
        <w:tc>
          <w:tcPr>
            <w:tcW w:w="994" w:type="pct"/>
            <w:tcBorders>
              <w:bottom w:val="single" w:sz="4" w:space="0" w:color="auto"/>
            </w:tcBorders>
            <w:shd w:val="clear" w:color="auto" w:fill="auto"/>
            <w:noWrap/>
          </w:tcPr>
          <w:p w14:paraId="77DE124B"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53.5 (50.5, 56.25)</w:t>
            </w:r>
          </w:p>
        </w:tc>
        <w:tc>
          <w:tcPr>
            <w:tcW w:w="770" w:type="pct"/>
            <w:tcBorders>
              <w:bottom w:val="single" w:sz="4" w:space="0" w:color="auto"/>
            </w:tcBorders>
            <w:shd w:val="clear" w:color="auto" w:fill="auto"/>
            <w:noWrap/>
          </w:tcPr>
          <w:p w14:paraId="1D70B7CA"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55 (49.5, 57)</w:t>
            </w:r>
          </w:p>
        </w:tc>
        <w:tc>
          <w:tcPr>
            <w:tcW w:w="1364" w:type="pct"/>
            <w:tcBorders>
              <w:bottom w:val="single" w:sz="4" w:space="0" w:color="auto"/>
            </w:tcBorders>
            <w:shd w:val="clear" w:color="auto" w:fill="auto"/>
            <w:noWrap/>
          </w:tcPr>
          <w:p w14:paraId="084793A2"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0.645387747869369</w:t>
            </w:r>
          </w:p>
        </w:tc>
        <w:tc>
          <w:tcPr>
            <w:tcW w:w="770" w:type="pct"/>
            <w:tcBorders>
              <w:bottom w:val="single" w:sz="4" w:space="0" w:color="auto"/>
            </w:tcBorders>
            <w:shd w:val="clear" w:color="auto" w:fill="auto"/>
            <w:noWrap/>
          </w:tcPr>
          <w:p w14:paraId="3CF759C3" w14:textId="77777777" w:rsidR="00BB2342" w:rsidRDefault="00000000">
            <w:pPr>
              <w:spacing w:before="0" w:after="0" w:line="480" w:lineRule="auto"/>
              <w:rPr>
                <w:rFonts w:ascii="Arial" w:eastAsia="Times New Roman" w:hAnsi="Arial" w:cs="Arial"/>
                <w:color w:val="000000"/>
                <w:sz w:val="20"/>
                <w:szCs w:val="20"/>
                <w:lang w:eastAsia="en-IN"/>
              </w:rPr>
            </w:pPr>
            <w:r>
              <w:rPr>
                <w:rFonts w:ascii="Arial" w:eastAsia="Times New Roman" w:hAnsi="Arial" w:cs="Arial"/>
                <w:color w:val="000000"/>
                <w:sz w:val="20"/>
                <w:szCs w:val="20"/>
                <w:lang w:eastAsia="en-IN"/>
              </w:rPr>
              <w:t>Wilcoxon</w:t>
            </w:r>
          </w:p>
        </w:tc>
      </w:tr>
    </w:tbl>
    <w:p w14:paraId="16CF34DF" w14:textId="77777777" w:rsidR="00BB2342" w:rsidRDefault="00BB2342">
      <w:pPr>
        <w:spacing w:line="480" w:lineRule="auto"/>
        <w:rPr>
          <w:rFonts w:ascii="Arial" w:hAnsi="Arial" w:cs="Arial"/>
          <w:b/>
          <w:bCs/>
          <w:sz w:val="20"/>
          <w:szCs w:val="20"/>
        </w:rPr>
      </w:pPr>
    </w:p>
    <w:p w14:paraId="262C1DC3" w14:textId="77777777" w:rsidR="00BB2342" w:rsidRDefault="00000000">
      <w:pPr>
        <w:spacing w:line="480" w:lineRule="auto"/>
        <w:rPr>
          <w:rFonts w:ascii="Arial" w:hAnsi="Arial" w:cs="Arial"/>
          <w:sz w:val="20"/>
          <w:szCs w:val="20"/>
        </w:rPr>
      </w:pPr>
      <w:r>
        <w:rPr>
          <w:rFonts w:ascii="Arial" w:hAnsi="Arial" w:cs="Arial"/>
          <w:b/>
          <w:bCs/>
          <w:sz w:val="20"/>
          <w:szCs w:val="20"/>
        </w:rPr>
        <w:t>Table S</w:t>
      </w:r>
      <w:r>
        <w:rPr>
          <w:rFonts w:ascii="Arial" w:eastAsia="SimSun" w:hAnsi="Arial" w:cs="Arial"/>
          <w:b/>
          <w:bCs/>
          <w:sz w:val="20"/>
          <w:szCs w:val="20"/>
          <w:lang w:eastAsia="zh-CN"/>
        </w:rPr>
        <w:t>3</w:t>
      </w:r>
      <w:r>
        <w:rPr>
          <w:rFonts w:ascii="Arial" w:eastAsia="SimSun" w:hAnsi="Arial" w:cs="Arial" w:hint="eastAsia"/>
          <w:b/>
          <w:bCs/>
          <w:sz w:val="20"/>
          <w:szCs w:val="20"/>
          <w:lang w:eastAsia="zh-CN"/>
        </w:rPr>
        <w:t>A</w:t>
      </w:r>
      <w:r>
        <w:rPr>
          <w:rFonts w:ascii="Arial" w:hAnsi="Arial" w:cs="Arial"/>
          <w:sz w:val="20"/>
          <w:szCs w:val="20"/>
        </w:rPr>
        <w:t xml:space="preserve"> GO enrichment analysis of </w:t>
      </w:r>
      <w:proofErr w:type="gramStart"/>
      <w:r>
        <w:rPr>
          <w:rFonts w:ascii="Arial" w:hAnsi="Arial" w:cs="Arial"/>
          <w:sz w:val="20"/>
          <w:szCs w:val="20"/>
        </w:rPr>
        <w:t>DEGs</w:t>
      </w:r>
      <w:proofErr w:type="gramEnd"/>
    </w:p>
    <w:tbl>
      <w:tblPr>
        <w:tblW w:w="5000" w:type="pct"/>
        <w:tblBorders>
          <w:top w:val="single" w:sz="8" w:space="0" w:color="000000"/>
          <w:bottom w:val="single" w:sz="8" w:space="0" w:color="000000"/>
        </w:tblBorders>
        <w:tblLook w:val="04A0" w:firstRow="1" w:lastRow="0" w:firstColumn="1" w:lastColumn="0" w:noHBand="0" w:noVBand="1"/>
      </w:tblPr>
      <w:tblGrid>
        <w:gridCol w:w="1420"/>
        <w:gridCol w:w="1893"/>
        <w:gridCol w:w="5203"/>
        <w:gridCol w:w="1261"/>
      </w:tblGrid>
      <w:tr w:rsidR="00BB2342" w14:paraId="654B30AB" w14:textId="77777777">
        <w:trPr>
          <w:trHeight w:val="415"/>
        </w:trPr>
        <w:tc>
          <w:tcPr>
            <w:tcW w:w="726" w:type="pct"/>
            <w:tcBorders>
              <w:top w:val="single" w:sz="4" w:space="0" w:color="auto"/>
              <w:bottom w:val="single" w:sz="8" w:space="0" w:color="000000"/>
            </w:tcBorders>
          </w:tcPr>
          <w:p w14:paraId="057E9803"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color w:val="000000" w:themeColor="text1"/>
                <w:sz w:val="20"/>
                <w:szCs w:val="20"/>
              </w:rPr>
              <w:t>Category</w:t>
            </w:r>
          </w:p>
        </w:tc>
        <w:tc>
          <w:tcPr>
            <w:tcW w:w="968" w:type="pct"/>
            <w:tcBorders>
              <w:top w:val="single" w:sz="4" w:space="0" w:color="auto"/>
              <w:bottom w:val="single" w:sz="8" w:space="0" w:color="000000"/>
            </w:tcBorders>
          </w:tcPr>
          <w:p w14:paraId="649A5A38"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color w:val="000000" w:themeColor="text1"/>
                <w:sz w:val="20"/>
                <w:szCs w:val="20"/>
              </w:rPr>
              <w:t>ID</w:t>
            </w:r>
          </w:p>
        </w:tc>
        <w:tc>
          <w:tcPr>
            <w:tcW w:w="2661" w:type="pct"/>
            <w:tcBorders>
              <w:top w:val="single" w:sz="4" w:space="0" w:color="auto"/>
              <w:bottom w:val="single" w:sz="8" w:space="0" w:color="000000"/>
            </w:tcBorders>
          </w:tcPr>
          <w:p w14:paraId="1083F9DA"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color w:val="000000" w:themeColor="text1"/>
                <w:sz w:val="20"/>
                <w:szCs w:val="20"/>
              </w:rPr>
              <w:t>Description</w:t>
            </w:r>
          </w:p>
        </w:tc>
        <w:tc>
          <w:tcPr>
            <w:tcW w:w="645" w:type="pct"/>
            <w:tcBorders>
              <w:top w:val="single" w:sz="4" w:space="0" w:color="auto"/>
              <w:bottom w:val="single" w:sz="8" w:space="0" w:color="000000"/>
            </w:tcBorders>
          </w:tcPr>
          <w:p w14:paraId="3214DC10"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i/>
                <w:iCs/>
                <w:sz w:val="20"/>
                <w:szCs w:val="20"/>
              </w:rPr>
              <w:t>P</w:t>
            </w:r>
            <w:r>
              <w:rPr>
                <w:rFonts w:ascii="Arial" w:eastAsia="SimSun" w:hAnsi="Arial" w:cs="Arial"/>
                <w:b/>
                <w:bCs/>
                <w:iCs/>
                <w:sz w:val="20"/>
                <w:szCs w:val="20"/>
              </w:rPr>
              <w:t>-</w:t>
            </w:r>
            <w:r>
              <w:rPr>
                <w:rFonts w:ascii="Arial" w:eastAsia="SimSun" w:hAnsi="Arial" w:cs="Arial"/>
                <w:b/>
                <w:bCs/>
                <w:sz w:val="20"/>
                <w:szCs w:val="20"/>
              </w:rPr>
              <w:t>value</w:t>
            </w:r>
          </w:p>
        </w:tc>
      </w:tr>
      <w:tr w:rsidR="00BB2342" w14:paraId="5D478557" w14:textId="77777777">
        <w:trPr>
          <w:trHeight w:val="341"/>
        </w:trPr>
        <w:tc>
          <w:tcPr>
            <w:tcW w:w="726" w:type="pct"/>
            <w:tcBorders>
              <w:top w:val="single" w:sz="8" w:space="0" w:color="000000"/>
            </w:tcBorders>
          </w:tcPr>
          <w:p w14:paraId="10970EAE"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Borders>
              <w:top w:val="single" w:sz="8" w:space="0" w:color="000000"/>
            </w:tcBorders>
          </w:tcPr>
          <w:p w14:paraId="0E1AD4A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GO:0043923</w:t>
            </w:r>
          </w:p>
        </w:tc>
        <w:tc>
          <w:tcPr>
            <w:tcW w:w="2661" w:type="pct"/>
            <w:tcBorders>
              <w:top w:val="single" w:sz="8" w:space="0" w:color="000000"/>
            </w:tcBorders>
          </w:tcPr>
          <w:p w14:paraId="365D8B7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positive regulation by host of viral transcription</w:t>
            </w:r>
          </w:p>
        </w:tc>
        <w:tc>
          <w:tcPr>
            <w:tcW w:w="645" w:type="pct"/>
            <w:tcBorders>
              <w:top w:val="single" w:sz="8" w:space="0" w:color="000000"/>
            </w:tcBorders>
          </w:tcPr>
          <w:p w14:paraId="3DBB80C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0.000371</w:t>
            </w:r>
          </w:p>
        </w:tc>
      </w:tr>
      <w:tr w:rsidR="00BB2342" w14:paraId="518002BE" w14:textId="77777777">
        <w:trPr>
          <w:trHeight w:val="349"/>
        </w:trPr>
        <w:tc>
          <w:tcPr>
            <w:tcW w:w="726" w:type="pct"/>
          </w:tcPr>
          <w:p w14:paraId="1BD345E8"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132D8CF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GO:1904019</w:t>
            </w:r>
          </w:p>
        </w:tc>
        <w:tc>
          <w:tcPr>
            <w:tcW w:w="2661" w:type="pct"/>
          </w:tcPr>
          <w:p w14:paraId="558544E8"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epithelial cell apoptotic process</w:t>
            </w:r>
          </w:p>
        </w:tc>
        <w:tc>
          <w:tcPr>
            <w:tcW w:w="645" w:type="pct"/>
          </w:tcPr>
          <w:p w14:paraId="74B15112"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0.000808</w:t>
            </w:r>
          </w:p>
        </w:tc>
      </w:tr>
      <w:tr w:rsidR="00BB2342" w14:paraId="46D5BB1C" w14:textId="77777777">
        <w:trPr>
          <w:trHeight w:val="429"/>
        </w:trPr>
        <w:tc>
          <w:tcPr>
            <w:tcW w:w="726" w:type="pct"/>
          </w:tcPr>
          <w:p w14:paraId="36F61FBF"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1B2CAB5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GO:0097164</w:t>
            </w:r>
          </w:p>
        </w:tc>
        <w:tc>
          <w:tcPr>
            <w:tcW w:w="2661" w:type="pct"/>
          </w:tcPr>
          <w:p w14:paraId="1BB70BD8"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ammonium ion metabolic process</w:t>
            </w:r>
          </w:p>
        </w:tc>
        <w:tc>
          <w:tcPr>
            <w:tcW w:w="645" w:type="pct"/>
          </w:tcPr>
          <w:p w14:paraId="584E170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0.000980</w:t>
            </w:r>
          </w:p>
        </w:tc>
      </w:tr>
      <w:tr w:rsidR="00BB2342" w14:paraId="50821C64" w14:textId="77777777">
        <w:trPr>
          <w:trHeight w:val="429"/>
        </w:trPr>
        <w:tc>
          <w:tcPr>
            <w:tcW w:w="726" w:type="pct"/>
          </w:tcPr>
          <w:p w14:paraId="10780607"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678C00C0"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GO:0007140</w:t>
            </w:r>
          </w:p>
        </w:tc>
        <w:tc>
          <w:tcPr>
            <w:tcW w:w="2661" w:type="pct"/>
          </w:tcPr>
          <w:p w14:paraId="0105A72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male meiotic nuclear division</w:t>
            </w:r>
          </w:p>
        </w:tc>
        <w:tc>
          <w:tcPr>
            <w:tcW w:w="645" w:type="pct"/>
          </w:tcPr>
          <w:p w14:paraId="50EA8877"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0.00106</w:t>
            </w:r>
          </w:p>
        </w:tc>
      </w:tr>
      <w:tr w:rsidR="00BB2342" w14:paraId="3975CE7C" w14:textId="77777777">
        <w:trPr>
          <w:trHeight w:val="429"/>
        </w:trPr>
        <w:tc>
          <w:tcPr>
            <w:tcW w:w="726" w:type="pct"/>
          </w:tcPr>
          <w:p w14:paraId="2A88017F"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3EAE1E7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GO:0051702</w:t>
            </w:r>
          </w:p>
        </w:tc>
        <w:tc>
          <w:tcPr>
            <w:tcW w:w="2661" w:type="pct"/>
          </w:tcPr>
          <w:p w14:paraId="38D3469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biological process involved in interaction with symbiont</w:t>
            </w:r>
          </w:p>
        </w:tc>
        <w:tc>
          <w:tcPr>
            <w:tcW w:w="645" w:type="pct"/>
          </w:tcPr>
          <w:p w14:paraId="1C490C9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0.00162</w:t>
            </w:r>
          </w:p>
        </w:tc>
      </w:tr>
      <w:tr w:rsidR="00BB2342" w14:paraId="3C2FBB65" w14:textId="77777777">
        <w:trPr>
          <w:trHeight w:val="429"/>
        </w:trPr>
        <w:tc>
          <w:tcPr>
            <w:tcW w:w="726" w:type="pct"/>
          </w:tcPr>
          <w:p w14:paraId="777F30A7"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657A6D0D"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GO:0006942</w:t>
            </w:r>
          </w:p>
        </w:tc>
        <w:tc>
          <w:tcPr>
            <w:tcW w:w="2661" w:type="pct"/>
          </w:tcPr>
          <w:p w14:paraId="24B68BA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regulation of striated muscle contraction</w:t>
            </w:r>
          </w:p>
        </w:tc>
        <w:tc>
          <w:tcPr>
            <w:tcW w:w="645" w:type="pct"/>
          </w:tcPr>
          <w:p w14:paraId="0A17554A"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0.00170</w:t>
            </w:r>
          </w:p>
        </w:tc>
      </w:tr>
      <w:tr w:rsidR="00BB2342" w14:paraId="71591727" w14:textId="77777777">
        <w:trPr>
          <w:trHeight w:val="429"/>
        </w:trPr>
        <w:tc>
          <w:tcPr>
            <w:tcW w:w="726" w:type="pct"/>
          </w:tcPr>
          <w:p w14:paraId="0E34DE6C"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1D4588B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GO:0010882</w:t>
            </w:r>
          </w:p>
        </w:tc>
        <w:tc>
          <w:tcPr>
            <w:tcW w:w="2661" w:type="pct"/>
          </w:tcPr>
          <w:p w14:paraId="0F9A7FCB"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regulation of cardiac muscle contraction by calcium ion signaling</w:t>
            </w:r>
          </w:p>
        </w:tc>
        <w:tc>
          <w:tcPr>
            <w:tcW w:w="645" w:type="pct"/>
          </w:tcPr>
          <w:p w14:paraId="352541C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0.00180</w:t>
            </w:r>
          </w:p>
        </w:tc>
      </w:tr>
      <w:tr w:rsidR="00BB2342" w14:paraId="1A241763" w14:textId="77777777">
        <w:trPr>
          <w:trHeight w:val="429"/>
        </w:trPr>
        <w:tc>
          <w:tcPr>
            <w:tcW w:w="726" w:type="pct"/>
          </w:tcPr>
          <w:p w14:paraId="01DA254A"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28D52D9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GO:0007141</w:t>
            </w:r>
          </w:p>
        </w:tc>
        <w:tc>
          <w:tcPr>
            <w:tcW w:w="2661" w:type="pct"/>
          </w:tcPr>
          <w:p w14:paraId="154221E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male meiosis I</w:t>
            </w:r>
          </w:p>
        </w:tc>
        <w:tc>
          <w:tcPr>
            <w:tcW w:w="645" w:type="pct"/>
          </w:tcPr>
          <w:p w14:paraId="251B0F3B"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0.00200</w:t>
            </w:r>
          </w:p>
        </w:tc>
      </w:tr>
      <w:tr w:rsidR="00BB2342" w14:paraId="529A67CB" w14:textId="77777777">
        <w:trPr>
          <w:trHeight w:val="429"/>
        </w:trPr>
        <w:tc>
          <w:tcPr>
            <w:tcW w:w="726" w:type="pct"/>
          </w:tcPr>
          <w:p w14:paraId="75A1F958"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61E790A4"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GO:0003015</w:t>
            </w:r>
          </w:p>
        </w:tc>
        <w:tc>
          <w:tcPr>
            <w:tcW w:w="2661" w:type="pct"/>
          </w:tcPr>
          <w:p w14:paraId="0BA4BE2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heart process</w:t>
            </w:r>
          </w:p>
        </w:tc>
        <w:tc>
          <w:tcPr>
            <w:tcW w:w="645" w:type="pct"/>
          </w:tcPr>
          <w:p w14:paraId="4A204240"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0.00204</w:t>
            </w:r>
          </w:p>
        </w:tc>
      </w:tr>
      <w:tr w:rsidR="00BB2342" w14:paraId="6C047D69" w14:textId="77777777">
        <w:trPr>
          <w:trHeight w:val="429"/>
        </w:trPr>
        <w:tc>
          <w:tcPr>
            <w:tcW w:w="726" w:type="pct"/>
          </w:tcPr>
          <w:p w14:paraId="088CA8B9"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173169B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GO:0051851</w:t>
            </w:r>
          </w:p>
        </w:tc>
        <w:tc>
          <w:tcPr>
            <w:tcW w:w="2661" w:type="pct"/>
          </w:tcPr>
          <w:p w14:paraId="5DB28220"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modulation by host of symbiont process</w:t>
            </w:r>
          </w:p>
        </w:tc>
        <w:tc>
          <w:tcPr>
            <w:tcW w:w="645" w:type="pct"/>
          </w:tcPr>
          <w:p w14:paraId="2436F93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0.00210</w:t>
            </w:r>
          </w:p>
        </w:tc>
      </w:tr>
      <w:tr w:rsidR="00BB2342" w14:paraId="223388A7" w14:textId="77777777">
        <w:trPr>
          <w:trHeight w:val="429"/>
        </w:trPr>
        <w:tc>
          <w:tcPr>
            <w:tcW w:w="726" w:type="pct"/>
          </w:tcPr>
          <w:p w14:paraId="034C26B3"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1B7556C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GO:1903522</w:t>
            </w:r>
          </w:p>
        </w:tc>
        <w:tc>
          <w:tcPr>
            <w:tcW w:w="2661" w:type="pct"/>
          </w:tcPr>
          <w:p w14:paraId="7F8DE6A7"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regulation of blood circulation</w:t>
            </w:r>
          </w:p>
        </w:tc>
        <w:tc>
          <w:tcPr>
            <w:tcW w:w="645" w:type="pct"/>
          </w:tcPr>
          <w:p w14:paraId="01D6A2E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0.00230</w:t>
            </w:r>
          </w:p>
        </w:tc>
      </w:tr>
      <w:tr w:rsidR="00BB2342" w14:paraId="2C13B2D7" w14:textId="77777777">
        <w:trPr>
          <w:trHeight w:val="429"/>
        </w:trPr>
        <w:tc>
          <w:tcPr>
            <w:tcW w:w="726" w:type="pct"/>
          </w:tcPr>
          <w:p w14:paraId="2E0E2C43"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70C4DCA8"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GO:0071711</w:t>
            </w:r>
          </w:p>
        </w:tc>
        <w:tc>
          <w:tcPr>
            <w:tcW w:w="2661" w:type="pct"/>
          </w:tcPr>
          <w:p w14:paraId="4B51FC7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basement membrane organization</w:t>
            </w:r>
          </w:p>
        </w:tc>
        <w:tc>
          <w:tcPr>
            <w:tcW w:w="645" w:type="pct"/>
          </w:tcPr>
          <w:p w14:paraId="234F163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0.00269</w:t>
            </w:r>
          </w:p>
        </w:tc>
      </w:tr>
      <w:tr w:rsidR="00BB2342" w14:paraId="7B072102" w14:textId="77777777">
        <w:trPr>
          <w:trHeight w:val="429"/>
        </w:trPr>
        <w:tc>
          <w:tcPr>
            <w:tcW w:w="726" w:type="pct"/>
          </w:tcPr>
          <w:p w14:paraId="0AC0B5CE"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lastRenderedPageBreak/>
              <w:t>BP</w:t>
            </w:r>
          </w:p>
        </w:tc>
        <w:tc>
          <w:tcPr>
            <w:tcW w:w="968" w:type="pct"/>
          </w:tcPr>
          <w:p w14:paraId="1E0B4F3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GO:0008016</w:t>
            </w:r>
          </w:p>
        </w:tc>
        <w:tc>
          <w:tcPr>
            <w:tcW w:w="2661" w:type="pct"/>
          </w:tcPr>
          <w:p w14:paraId="32E9DCD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regulation of heart contraction</w:t>
            </w:r>
          </w:p>
        </w:tc>
        <w:tc>
          <w:tcPr>
            <w:tcW w:w="645" w:type="pct"/>
          </w:tcPr>
          <w:p w14:paraId="50CA46B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0.00270</w:t>
            </w:r>
          </w:p>
        </w:tc>
      </w:tr>
      <w:tr w:rsidR="00BB2342" w14:paraId="4C504ADB" w14:textId="77777777">
        <w:trPr>
          <w:trHeight w:val="429"/>
        </w:trPr>
        <w:tc>
          <w:tcPr>
            <w:tcW w:w="726" w:type="pct"/>
          </w:tcPr>
          <w:p w14:paraId="5B8A3DB7"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616E763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GO:0035821</w:t>
            </w:r>
          </w:p>
        </w:tc>
        <w:tc>
          <w:tcPr>
            <w:tcW w:w="2661" w:type="pct"/>
          </w:tcPr>
          <w:p w14:paraId="65B9E290"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modulation of process of another organism</w:t>
            </w:r>
          </w:p>
        </w:tc>
        <w:tc>
          <w:tcPr>
            <w:tcW w:w="645" w:type="pct"/>
          </w:tcPr>
          <w:p w14:paraId="27358C3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0.00274</w:t>
            </w:r>
          </w:p>
        </w:tc>
      </w:tr>
      <w:tr w:rsidR="00BB2342" w14:paraId="45508C65" w14:textId="77777777">
        <w:trPr>
          <w:trHeight w:val="429"/>
        </w:trPr>
        <w:tc>
          <w:tcPr>
            <w:tcW w:w="726" w:type="pct"/>
          </w:tcPr>
          <w:p w14:paraId="3F549497"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2AD54750"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GO:0032196</w:t>
            </w:r>
          </w:p>
        </w:tc>
        <w:tc>
          <w:tcPr>
            <w:tcW w:w="2661" w:type="pct"/>
          </w:tcPr>
          <w:p w14:paraId="531D957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transposition</w:t>
            </w:r>
          </w:p>
        </w:tc>
        <w:tc>
          <w:tcPr>
            <w:tcW w:w="645" w:type="pct"/>
          </w:tcPr>
          <w:p w14:paraId="30FBC20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0.00295</w:t>
            </w:r>
          </w:p>
        </w:tc>
      </w:tr>
      <w:tr w:rsidR="00BB2342" w14:paraId="16AA9D1F" w14:textId="77777777">
        <w:trPr>
          <w:trHeight w:val="429"/>
        </w:trPr>
        <w:tc>
          <w:tcPr>
            <w:tcW w:w="726" w:type="pct"/>
          </w:tcPr>
          <w:p w14:paraId="3E26DB74"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73BDC608"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GO:0036363</w:t>
            </w:r>
          </w:p>
        </w:tc>
        <w:tc>
          <w:tcPr>
            <w:tcW w:w="2661" w:type="pct"/>
          </w:tcPr>
          <w:p w14:paraId="52631964"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transforming growth factor beta activation</w:t>
            </w:r>
          </w:p>
        </w:tc>
        <w:tc>
          <w:tcPr>
            <w:tcW w:w="645" w:type="pct"/>
          </w:tcPr>
          <w:p w14:paraId="3ED1EE2A"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0.00347</w:t>
            </w:r>
          </w:p>
        </w:tc>
      </w:tr>
      <w:tr w:rsidR="00BB2342" w14:paraId="09FDD593" w14:textId="77777777">
        <w:trPr>
          <w:trHeight w:val="429"/>
        </w:trPr>
        <w:tc>
          <w:tcPr>
            <w:tcW w:w="726" w:type="pct"/>
          </w:tcPr>
          <w:p w14:paraId="2A5A7C44"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6C5DF38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GO:2000288</w:t>
            </w:r>
          </w:p>
        </w:tc>
        <w:tc>
          <w:tcPr>
            <w:tcW w:w="2661" w:type="pct"/>
          </w:tcPr>
          <w:p w14:paraId="6B554090"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positive regulation of myoblast proliferation</w:t>
            </w:r>
          </w:p>
        </w:tc>
        <w:tc>
          <w:tcPr>
            <w:tcW w:w="645" w:type="pct"/>
          </w:tcPr>
          <w:p w14:paraId="409AB42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0.00347</w:t>
            </w:r>
          </w:p>
        </w:tc>
      </w:tr>
      <w:tr w:rsidR="00BB2342" w14:paraId="75930950" w14:textId="77777777">
        <w:trPr>
          <w:trHeight w:val="429"/>
        </w:trPr>
        <w:tc>
          <w:tcPr>
            <w:tcW w:w="726" w:type="pct"/>
          </w:tcPr>
          <w:p w14:paraId="69F70B9E"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4585947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GO:0070306</w:t>
            </w:r>
          </w:p>
        </w:tc>
        <w:tc>
          <w:tcPr>
            <w:tcW w:w="2661" w:type="pct"/>
          </w:tcPr>
          <w:p w14:paraId="309DCB4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lens fiber cell differentiation</w:t>
            </w:r>
          </w:p>
        </w:tc>
        <w:tc>
          <w:tcPr>
            <w:tcW w:w="645" w:type="pct"/>
          </w:tcPr>
          <w:p w14:paraId="308B92F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0.00414</w:t>
            </w:r>
          </w:p>
        </w:tc>
      </w:tr>
      <w:tr w:rsidR="00BB2342" w14:paraId="76BB8693" w14:textId="77777777">
        <w:trPr>
          <w:trHeight w:val="429"/>
        </w:trPr>
        <w:tc>
          <w:tcPr>
            <w:tcW w:w="726" w:type="pct"/>
          </w:tcPr>
          <w:p w14:paraId="24D9499C"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3EE9AFC7"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GO:0086016</w:t>
            </w:r>
          </w:p>
        </w:tc>
        <w:tc>
          <w:tcPr>
            <w:tcW w:w="2661" w:type="pct"/>
          </w:tcPr>
          <w:p w14:paraId="2609316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AV node cell action potential</w:t>
            </w:r>
          </w:p>
        </w:tc>
        <w:tc>
          <w:tcPr>
            <w:tcW w:w="645" w:type="pct"/>
          </w:tcPr>
          <w:p w14:paraId="49B9C4B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0.00422</w:t>
            </w:r>
          </w:p>
        </w:tc>
      </w:tr>
      <w:tr w:rsidR="00BB2342" w14:paraId="31458C79" w14:textId="77777777">
        <w:trPr>
          <w:trHeight w:val="429"/>
        </w:trPr>
        <w:tc>
          <w:tcPr>
            <w:tcW w:w="726" w:type="pct"/>
          </w:tcPr>
          <w:p w14:paraId="1326B229"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BP</w:t>
            </w:r>
          </w:p>
        </w:tc>
        <w:tc>
          <w:tcPr>
            <w:tcW w:w="968" w:type="pct"/>
          </w:tcPr>
          <w:p w14:paraId="4E8D930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GO:0086027</w:t>
            </w:r>
          </w:p>
        </w:tc>
        <w:tc>
          <w:tcPr>
            <w:tcW w:w="2661" w:type="pct"/>
          </w:tcPr>
          <w:p w14:paraId="284D6B7A"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AV node cell to bundle of His cell signaling</w:t>
            </w:r>
          </w:p>
        </w:tc>
        <w:tc>
          <w:tcPr>
            <w:tcW w:w="645" w:type="pct"/>
          </w:tcPr>
          <w:p w14:paraId="3D20E03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0.00422</w:t>
            </w:r>
          </w:p>
        </w:tc>
      </w:tr>
      <w:tr w:rsidR="00BB2342" w14:paraId="2FA03171" w14:textId="77777777">
        <w:trPr>
          <w:trHeight w:val="429"/>
        </w:trPr>
        <w:tc>
          <w:tcPr>
            <w:tcW w:w="726" w:type="pct"/>
          </w:tcPr>
          <w:p w14:paraId="542ABB2C"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CC</w:t>
            </w:r>
          </w:p>
        </w:tc>
        <w:tc>
          <w:tcPr>
            <w:tcW w:w="968" w:type="pct"/>
          </w:tcPr>
          <w:p w14:paraId="065B7030"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GO:0030017</w:t>
            </w:r>
          </w:p>
        </w:tc>
        <w:tc>
          <w:tcPr>
            <w:tcW w:w="2661" w:type="pct"/>
          </w:tcPr>
          <w:p w14:paraId="7CEB95C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sarcomere</w:t>
            </w:r>
          </w:p>
        </w:tc>
        <w:tc>
          <w:tcPr>
            <w:tcW w:w="645" w:type="pct"/>
          </w:tcPr>
          <w:p w14:paraId="74DF2520"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0.0119</w:t>
            </w:r>
          </w:p>
        </w:tc>
      </w:tr>
      <w:tr w:rsidR="00BB2342" w14:paraId="576112DC" w14:textId="77777777">
        <w:trPr>
          <w:trHeight w:val="429"/>
        </w:trPr>
        <w:tc>
          <w:tcPr>
            <w:tcW w:w="726" w:type="pct"/>
          </w:tcPr>
          <w:p w14:paraId="2F95766C"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CC</w:t>
            </w:r>
          </w:p>
        </w:tc>
        <w:tc>
          <w:tcPr>
            <w:tcW w:w="968" w:type="pct"/>
          </w:tcPr>
          <w:p w14:paraId="13ECD3D2"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GO:0005882</w:t>
            </w:r>
          </w:p>
        </w:tc>
        <w:tc>
          <w:tcPr>
            <w:tcW w:w="2661" w:type="pct"/>
          </w:tcPr>
          <w:p w14:paraId="7F86D6C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intermediate filament</w:t>
            </w:r>
          </w:p>
        </w:tc>
        <w:tc>
          <w:tcPr>
            <w:tcW w:w="645" w:type="pct"/>
          </w:tcPr>
          <w:p w14:paraId="72EBB3E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0.0135</w:t>
            </w:r>
          </w:p>
        </w:tc>
      </w:tr>
      <w:tr w:rsidR="00BB2342" w14:paraId="0CFC2493" w14:textId="77777777">
        <w:trPr>
          <w:trHeight w:val="429"/>
        </w:trPr>
        <w:tc>
          <w:tcPr>
            <w:tcW w:w="726" w:type="pct"/>
          </w:tcPr>
          <w:p w14:paraId="421D6474"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CC</w:t>
            </w:r>
          </w:p>
        </w:tc>
        <w:tc>
          <w:tcPr>
            <w:tcW w:w="968" w:type="pct"/>
          </w:tcPr>
          <w:p w14:paraId="7CA38A82"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GO:0043204</w:t>
            </w:r>
          </w:p>
        </w:tc>
        <w:tc>
          <w:tcPr>
            <w:tcW w:w="2661" w:type="pct"/>
          </w:tcPr>
          <w:p w14:paraId="29058B4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perikaryon</w:t>
            </w:r>
          </w:p>
        </w:tc>
        <w:tc>
          <w:tcPr>
            <w:tcW w:w="645" w:type="pct"/>
          </w:tcPr>
          <w:p w14:paraId="54BDB60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0.0139</w:t>
            </w:r>
          </w:p>
        </w:tc>
      </w:tr>
      <w:tr w:rsidR="00BB2342" w14:paraId="4E3E5231" w14:textId="77777777">
        <w:trPr>
          <w:trHeight w:val="429"/>
        </w:trPr>
        <w:tc>
          <w:tcPr>
            <w:tcW w:w="726" w:type="pct"/>
          </w:tcPr>
          <w:p w14:paraId="4013D792"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CC</w:t>
            </w:r>
          </w:p>
        </w:tc>
        <w:tc>
          <w:tcPr>
            <w:tcW w:w="968" w:type="pct"/>
          </w:tcPr>
          <w:p w14:paraId="5441D068"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GO:0031258</w:t>
            </w:r>
          </w:p>
        </w:tc>
        <w:tc>
          <w:tcPr>
            <w:tcW w:w="2661" w:type="pct"/>
          </w:tcPr>
          <w:p w14:paraId="7BE513D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lamellipodium membrane</w:t>
            </w:r>
          </w:p>
        </w:tc>
        <w:tc>
          <w:tcPr>
            <w:tcW w:w="645" w:type="pct"/>
          </w:tcPr>
          <w:p w14:paraId="1E37658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0.0163</w:t>
            </w:r>
          </w:p>
        </w:tc>
      </w:tr>
      <w:tr w:rsidR="00BB2342" w14:paraId="1FA397B0" w14:textId="77777777">
        <w:trPr>
          <w:trHeight w:val="429"/>
        </w:trPr>
        <w:tc>
          <w:tcPr>
            <w:tcW w:w="726" w:type="pct"/>
          </w:tcPr>
          <w:p w14:paraId="47E40874"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CC</w:t>
            </w:r>
          </w:p>
        </w:tc>
        <w:tc>
          <w:tcPr>
            <w:tcW w:w="968" w:type="pct"/>
          </w:tcPr>
          <w:p w14:paraId="12251E2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GO:0030016</w:t>
            </w:r>
          </w:p>
        </w:tc>
        <w:tc>
          <w:tcPr>
            <w:tcW w:w="2661" w:type="pct"/>
          </w:tcPr>
          <w:p w14:paraId="3501EFF2"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myofibril</w:t>
            </w:r>
          </w:p>
        </w:tc>
        <w:tc>
          <w:tcPr>
            <w:tcW w:w="645" w:type="pct"/>
          </w:tcPr>
          <w:p w14:paraId="265ED87A"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0.0179</w:t>
            </w:r>
          </w:p>
        </w:tc>
      </w:tr>
      <w:tr w:rsidR="00BB2342" w14:paraId="28B7290D" w14:textId="77777777">
        <w:trPr>
          <w:trHeight w:val="429"/>
        </w:trPr>
        <w:tc>
          <w:tcPr>
            <w:tcW w:w="726" w:type="pct"/>
          </w:tcPr>
          <w:p w14:paraId="61FF0CD5"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CC</w:t>
            </w:r>
          </w:p>
        </w:tc>
        <w:tc>
          <w:tcPr>
            <w:tcW w:w="968" w:type="pct"/>
          </w:tcPr>
          <w:p w14:paraId="109C35AD"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GO:0034704</w:t>
            </w:r>
          </w:p>
        </w:tc>
        <w:tc>
          <w:tcPr>
            <w:tcW w:w="2661" w:type="pct"/>
          </w:tcPr>
          <w:p w14:paraId="53C3EFB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calcium channel complex</w:t>
            </w:r>
          </w:p>
        </w:tc>
        <w:tc>
          <w:tcPr>
            <w:tcW w:w="645" w:type="pct"/>
          </w:tcPr>
          <w:p w14:paraId="1ECFE5F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0.0205</w:t>
            </w:r>
          </w:p>
        </w:tc>
      </w:tr>
      <w:tr w:rsidR="00BB2342" w14:paraId="6BCBF773" w14:textId="77777777">
        <w:trPr>
          <w:trHeight w:val="429"/>
        </w:trPr>
        <w:tc>
          <w:tcPr>
            <w:tcW w:w="726" w:type="pct"/>
          </w:tcPr>
          <w:p w14:paraId="15AEA128"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CC</w:t>
            </w:r>
          </w:p>
        </w:tc>
        <w:tc>
          <w:tcPr>
            <w:tcW w:w="968" w:type="pct"/>
          </w:tcPr>
          <w:p w14:paraId="67692F4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GO:0043292</w:t>
            </w:r>
          </w:p>
        </w:tc>
        <w:tc>
          <w:tcPr>
            <w:tcW w:w="2661" w:type="pct"/>
          </w:tcPr>
          <w:p w14:paraId="4948B0E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contractile fiber</w:t>
            </w:r>
          </w:p>
        </w:tc>
        <w:tc>
          <w:tcPr>
            <w:tcW w:w="645" w:type="pct"/>
          </w:tcPr>
          <w:p w14:paraId="04B6970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0.0208</w:t>
            </w:r>
          </w:p>
        </w:tc>
      </w:tr>
      <w:tr w:rsidR="00BB2342" w14:paraId="3152ABD2" w14:textId="77777777">
        <w:trPr>
          <w:trHeight w:val="429"/>
        </w:trPr>
        <w:tc>
          <w:tcPr>
            <w:tcW w:w="726" w:type="pct"/>
          </w:tcPr>
          <w:p w14:paraId="0AE0DACF"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CC</w:t>
            </w:r>
          </w:p>
        </w:tc>
        <w:tc>
          <w:tcPr>
            <w:tcW w:w="968" w:type="pct"/>
          </w:tcPr>
          <w:p w14:paraId="6F36FD8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GO:0099634</w:t>
            </w:r>
          </w:p>
        </w:tc>
        <w:tc>
          <w:tcPr>
            <w:tcW w:w="2661" w:type="pct"/>
          </w:tcPr>
          <w:p w14:paraId="2BAA1FE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postsynaptic specialization membrane</w:t>
            </w:r>
          </w:p>
        </w:tc>
        <w:tc>
          <w:tcPr>
            <w:tcW w:w="645" w:type="pct"/>
          </w:tcPr>
          <w:p w14:paraId="3897C44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0.0210</w:t>
            </w:r>
          </w:p>
        </w:tc>
      </w:tr>
    </w:tbl>
    <w:p w14:paraId="4B9655B4" w14:textId="145B1F33" w:rsidR="00BB2342" w:rsidRDefault="00000000">
      <w:pPr>
        <w:spacing w:line="480" w:lineRule="auto"/>
        <w:rPr>
          <w:rFonts w:ascii="Arial" w:hAnsi="Arial" w:cs="Arial"/>
          <w:b/>
          <w:bCs/>
          <w:sz w:val="20"/>
          <w:szCs w:val="20"/>
        </w:rPr>
      </w:pPr>
      <w:r>
        <w:rPr>
          <w:rFonts w:ascii="Arial" w:hAnsi="Arial" w:cs="Arial"/>
          <w:sz w:val="20"/>
          <w:szCs w:val="20"/>
        </w:rPr>
        <w:t>GO, Gene Ontology; BP, Biological Process; CC, Cellular Component</w:t>
      </w:r>
      <w:r w:rsidR="00B51B58">
        <w:rPr>
          <w:rFonts w:ascii="Arial" w:hAnsi="Arial" w:cs="Arial"/>
          <w:sz w:val="20"/>
          <w:szCs w:val="20"/>
        </w:rPr>
        <w:t>.</w:t>
      </w:r>
      <w:r>
        <w:rPr>
          <w:rFonts w:ascii="Arial" w:hAnsi="Arial" w:cs="Arial"/>
          <w:sz w:val="20"/>
          <w:szCs w:val="20"/>
        </w:rPr>
        <w:t xml:space="preserve"> </w:t>
      </w:r>
    </w:p>
    <w:p w14:paraId="6B978F08" w14:textId="77777777" w:rsidR="00BB2342" w:rsidRDefault="00BB2342">
      <w:pPr>
        <w:spacing w:line="480" w:lineRule="auto"/>
        <w:rPr>
          <w:rFonts w:ascii="Arial" w:hAnsi="Arial" w:cs="Arial"/>
          <w:b/>
          <w:bCs/>
          <w:sz w:val="20"/>
          <w:szCs w:val="20"/>
        </w:rPr>
      </w:pPr>
    </w:p>
    <w:p w14:paraId="30570897" w14:textId="77777777" w:rsidR="00BB2342" w:rsidRDefault="00BB2342">
      <w:pPr>
        <w:spacing w:line="480" w:lineRule="auto"/>
        <w:rPr>
          <w:rFonts w:ascii="Arial" w:hAnsi="Arial" w:cs="Arial"/>
          <w:b/>
          <w:bCs/>
          <w:sz w:val="20"/>
          <w:szCs w:val="20"/>
        </w:rPr>
      </w:pPr>
    </w:p>
    <w:p w14:paraId="15F144E0" w14:textId="77777777" w:rsidR="00BB2342" w:rsidRDefault="00BB2342">
      <w:pPr>
        <w:spacing w:line="480" w:lineRule="auto"/>
        <w:rPr>
          <w:rFonts w:ascii="Arial" w:hAnsi="Arial" w:cs="Arial"/>
          <w:b/>
          <w:bCs/>
          <w:sz w:val="20"/>
          <w:szCs w:val="20"/>
        </w:rPr>
      </w:pPr>
    </w:p>
    <w:p w14:paraId="63EC0BCE" w14:textId="77777777" w:rsidR="00BB2342" w:rsidRDefault="00BB2342">
      <w:pPr>
        <w:spacing w:line="480" w:lineRule="auto"/>
        <w:rPr>
          <w:rFonts w:ascii="Arial" w:hAnsi="Arial" w:cs="Arial"/>
          <w:b/>
          <w:bCs/>
          <w:sz w:val="20"/>
          <w:szCs w:val="20"/>
        </w:rPr>
      </w:pPr>
    </w:p>
    <w:p w14:paraId="718DD425" w14:textId="77777777" w:rsidR="00BB2342" w:rsidRDefault="00BB2342">
      <w:pPr>
        <w:spacing w:line="480" w:lineRule="auto"/>
        <w:rPr>
          <w:rFonts w:ascii="Arial" w:hAnsi="Arial" w:cs="Arial"/>
          <w:b/>
          <w:bCs/>
          <w:sz w:val="20"/>
          <w:szCs w:val="20"/>
        </w:rPr>
      </w:pPr>
    </w:p>
    <w:p w14:paraId="69108860" w14:textId="77777777" w:rsidR="00BB2342" w:rsidRDefault="00000000">
      <w:pPr>
        <w:spacing w:line="480" w:lineRule="auto"/>
        <w:rPr>
          <w:rFonts w:ascii="Arial" w:eastAsiaTheme="minorEastAsia" w:hAnsi="Arial" w:cs="Arial"/>
          <w:kern w:val="2"/>
          <w:sz w:val="20"/>
          <w:szCs w:val="20"/>
          <w:lang w:eastAsia="zh-CN"/>
        </w:rPr>
      </w:pPr>
      <w:r>
        <w:rPr>
          <w:rFonts w:ascii="Arial" w:hAnsi="Arial" w:cs="Arial"/>
          <w:b/>
          <w:bCs/>
          <w:sz w:val="20"/>
          <w:szCs w:val="20"/>
        </w:rPr>
        <w:t>Table S</w:t>
      </w:r>
      <w:r>
        <w:rPr>
          <w:rFonts w:ascii="Arial" w:eastAsia="SimSun" w:hAnsi="Arial" w:cs="Arial"/>
          <w:b/>
          <w:bCs/>
          <w:sz w:val="20"/>
          <w:szCs w:val="20"/>
          <w:lang w:eastAsia="zh-CN"/>
        </w:rPr>
        <w:t>3</w:t>
      </w:r>
      <w:r>
        <w:rPr>
          <w:rFonts w:ascii="Arial" w:eastAsia="SimSun" w:hAnsi="Arial" w:cs="Arial" w:hint="eastAsia"/>
          <w:b/>
          <w:bCs/>
          <w:sz w:val="20"/>
          <w:szCs w:val="20"/>
          <w:lang w:eastAsia="zh-CN"/>
        </w:rPr>
        <w:t>B</w:t>
      </w:r>
      <w:r>
        <w:rPr>
          <w:rFonts w:ascii="Arial" w:eastAsia="SimSun" w:hAnsi="Arial" w:cs="Arial"/>
          <w:b/>
          <w:bCs/>
          <w:sz w:val="20"/>
          <w:szCs w:val="20"/>
          <w:lang w:eastAsia="zh-CN"/>
        </w:rPr>
        <w:t xml:space="preserve"> </w:t>
      </w:r>
      <w:r>
        <w:rPr>
          <w:rFonts w:ascii="Arial" w:hAnsi="Arial" w:cs="Arial"/>
          <w:sz w:val="20"/>
          <w:szCs w:val="20"/>
        </w:rPr>
        <w:t>KEGG enrichment analysis of DEGs</w:t>
      </w:r>
    </w:p>
    <w:tbl>
      <w:tblPr>
        <w:tblW w:w="5000" w:type="pct"/>
        <w:tblBorders>
          <w:top w:val="single" w:sz="8" w:space="0" w:color="000000"/>
          <w:bottom w:val="single" w:sz="8" w:space="0" w:color="000000"/>
        </w:tblBorders>
        <w:tblLook w:val="04A0" w:firstRow="1" w:lastRow="0" w:firstColumn="1" w:lastColumn="0" w:noHBand="0" w:noVBand="1"/>
      </w:tblPr>
      <w:tblGrid>
        <w:gridCol w:w="1672"/>
        <w:gridCol w:w="1641"/>
        <w:gridCol w:w="5203"/>
        <w:gridCol w:w="1261"/>
      </w:tblGrid>
      <w:tr w:rsidR="00BB2342" w14:paraId="70D67192" w14:textId="77777777">
        <w:trPr>
          <w:trHeight w:val="429"/>
        </w:trPr>
        <w:tc>
          <w:tcPr>
            <w:tcW w:w="855" w:type="pct"/>
            <w:tcBorders>
              <w:top w:val="single" w:sz="8" w:space="0" w:color="000000"/>
              <w:bottom w:val="single" w:sz="4" w:space="0" w:color="auto"/>
            </w:tcBorders>
          </w:tcPr>
          <w:p w14:paraId="3A4CAB4F" w14:textId="77777777" w:rsidR="00BB2342" w:rsidRDefault="00000000">
            <w:pPr>
              <w:spacing w:before="0" w:after="0" w:line="480" w:lineRule="auto"/>
              <w:rPr>
                <w:rFonts w:ascii="Arial" w:eastAsia="SimSun" w:hAnsi="Arial" w:cs="Arial"/>
                <w:b/>
                <w:bCs/>
                <w:color w:val="000000" w:themeColor="text1"/>
                <w:sz w:val="20"/>
                <w:szCs w:val="20"/>
              </w:rPr>
            </w:pPr>
            <w:r>
              <w:rPr>
                <w:rFonts w:ascii="Arial" w:eastAsia="SimSun" w:hAnsi="Arial" w:cs="Arial"/>
                <w:b/>
                <w:bCs/>
                <w:color w:val="000000" w:themeColor="text1"/>
                <w:sz w:val="20"/>
                <w:szCs w:val="20"/>
              </w:rPr>
              <w:t>Category</w:t>
            </w:r>
          </w:p>
        </w:tc>
        <w:tc>
          <w:tcPr>
            <w:tcW w:w="839" w:type="pct"/>
            <w:tcBorders>
              <w:top w:val="single" w:sz="8" w:space="0" w:color="000000"/>
              <w:bottom w:val="single" w:sz="4" w:space="0" w:color="auto"/>
            </w:tcBorders>
          </w:tcPr>
          <w:p w14:paraId="2A54C6C6" w14:textId="77777777" w:rsidR="00BB2342" w:rsidRDefault="00000000">
            <w:pPr>
              <w:spacing w:before="0" w:after="0" w:line="480" w:lineRule="auto"/>
              <w:rPr>
                <w:rFonts w:ascii="Arial" w:eastAsia="SimSun" w:hAnsi="Arial" w:cs="Arial"/>
                <w:b/>
                <w:bCs/>
                <w:color w:val="000000"/>
                <w:sz w:val="20"/>
                <w:szCs w:val="20"/>
              </w:rPr>
            </w:pPr>
            <w:r>
              <w:rPr>
                <w:rFonts w:ascii="Arial" w:eastAsia="SimSun" w:hAnsi="Arial" w:cs="Arial"/>
                <w:b/>
                <w:bCs/>
                <w:color w:val="000000"/>
                <w:sz w:val="20"/>
                <w:szCs w:val="20"/>
              </w:rPr>
              <w:t>ID</w:t>
            </w:r>
          </w:p>
        </w:tc>
        <w:tc>
          <w:tcPr>
            <w:tcW w:w="2661" w:type="pct"/>
            <w:tcBorders>
              <w:top w:val="single" w:sz="8" w:space="0" w:color="000000"/>
              <w:bottom w:val="single" w:sz="4" w:space="0" w:color="auto"/>
            </w:tcBorders>
          </w:tcPr>
          <w:p w14:paraId="115A61F0" w14:textId="77777777" w:rsidR="00BB2342" w:rsidRDefault="00000000">
            <w:pPr>
              <w:spacing w:before="0" w:after="0" w:line="480" w:lineRule="auto"/>
              <w:rPr>
                <w:rFonts w:ascii="Arial" w:eastAsia="SimSun" w:hAnsi="Arial" w:cs="Arial"/>
                <w:b/>
                <w:bCs/>
                <w:color w:val="000000"/>
                <w:sz w:val="20"/>
                <w:szCs w:val="20"/>
              </w:rPr>
            </w:pPr>
            <w:r>
              <w:rPr>
                <w:rFonts w:ascii="Arial" w:eastAsia="SimSun" w:hAnsi="Arial" w:cs="Arial"/>
                <w:b/>
                <w:bCs/>
                <w:color w:val="000000"/>
                <w:sz w:val="20"/>
                <w:szCs w:val="20"/>
              </w:rPr>
              <w:t>Description</w:t>
            </w:r>
          </w:p>
        </w:tc>
        <w:tc>
          <w:tcPr>
            <w:tcW w:w="645" w:type="pct"/>
            <w:tcBorders>
              <w:top w:val="single" w:sz="8" w:space="0" w:color="000000"/>
              <w:bottom w:val="single" w:sz="4" w:space="0" w:color="auto"/>
            </w:tcBorders>
          </w:tcPr>
          <w:p w14:paraId="536BFD04" w14:textId="77777777" w:rsidR="00BB2342" w:rsidRDefault="00000000">
            <w:pPr>
              <w:spacing w:before="0" w:after="0" w:line="480" w:lineRule="auto"/>
              <w:rPr>
                <w:rFonts w:ascii="Arial" w:eastAsia="SimSun" w:hAnsi="Arial" w:cs="Arial"/>
                <w:b/>
                <w:bCs/>
                <w:color w:val="000000"/>
                <w:sz w:val="20"/>
                <w:szCs w:val="20"/>
              </w:rPr>
            </w:pPr>
            <w:r>
              <w:rPr>
                <w:rFonts w:ascii="Arial" w:eastAsia="SimSun" w:hAnsi="Arial" w:cs="Arial"/>
                <w:b/>
                <w:bCs/>
                <w:i/>
                <w:iCs/>
                <w:sz w:val="20"/>
                <w:szCs w:val="20"/>
              </w:rPr>
              <w:t>P</w:t>
            </w:r>
            <w:r>
              <w:rPr>
                <w:rFonts w:ascii="Arial" w:eastAsia="SimSun" w:hAnsi="Arial" w:cs="Arial"/>
                <w:b/>
                <w:bCs/>
                <w:iCs/>
                <w:sz w:val="20"/>
                <w:szCs w:val="20"/>
              </w:rPr>
              <w:t>-</w:t>
            </w:r>
            <w:r>
              <w:rPr>
                <w:rFonts w:ascii="Arial" w:eastAsia="SimSun" w:hAnsi="Arial" w:cs="Arial"/>
                <w:b/>
                <w:bCs/>
                <w:sz w:val="20"/>
                <w:szCs w:val="20"/>
              </w:rPr>
              <w:t>value</w:t>
            </w:r>
          </w:p>
        </w:tc>
      </w:tr>
      <w:tr w:rsidR="00BB2342" w14:paraId="4BE1BE2A" w14:textId="77777777">
        <w:trPr>
          <w:trHeight w:val="429"/>
        </w:trPr>
        <w:tc>
          <w:tcPr>
            <w:tcW w:w="855" w:type="pct"/>
            <w:tcBorders>
              <w:top w:val="single" w:sz="4" w:space="0" w:color="auto"/>
            </w:tcBorders>
          </w:tcPr>
          <w:p w14:paraId="6DCFD630"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lastRenderedPageBreak/>
              <w:t>KEGG</w:t>
            </w:r>
          </w:p>
        </w:tc>
        <w:tc>
          <w:tcPr>
            <w:tcW w:w="839" w:type="pct"/>
            <w:tcBorders>
              <w:top w:val="single" w:sz="4" w:space="0" w:color="auto"/>
            </w:tcBorders>
          </w:tcPr>
          <w:p w14:paraId="5958DBD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hsa05410</w:t>
            </w:r>
          </w:p>
        </w:tc>
        <w:tc>
          <w:tcPr>
            <w:tcW w:w="2661" w:type="pct"/>
            <w:tcBorders>
              <w:top w:val="single" w:sz="4" w:space="0" w:color="auto"/>
            </w:tcBorders>
          </w:tcPr>
          <w:p w14:paraId="40F75A78"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Hypertrophic cardiomyopathy</w:t>
            </w:r>
          </w:p>
        </w:tc>
        <w:tc>
          <w:tcPr>
            <w:tcW w:w="645" w:type="pct"/>
            <w:tcBorders>
              <w:top w:val="single" w:sz="4" w:space="0" w:color="auto"/>
            </w:tcBorders>
          </w:tcPr>
          <w:p w14:paraId="6C56755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0.271</w:t>
            </w:r>
          </w:p>
        </w:tc>
      </w:tr>
      <w:tr w:rsidR="00BB2342" w14:paraId="0713643C" w14:textId="77777777">
        <w:trPr>
          <w:trHeight w:val="429"/>
        </w:trPr>
        <w:tc>
          <w:tcPr>
            <w:tcW w:w="855" w:type="pct"/>
          </w:tcPr>
          <w:p w14:paraId="2E492674"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KEGG</w:t>
            </w:r>
          </w:p>
        </w:tc>
        <w:tc>
          <w:tcPr>
            <w:tcW w:w="839" w:type="pct"/>
          </w:tcPr>
          <w:p w14:paraId="4754F7C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hsa05414</w:t>
            </w:r>
          </w:p>
        </w:tc>
        <w:tc>
          <w:tcPr>
            <w:tcW w:w="2661" w:type="pct"/>
          </w:tcPr>
          <w:p w14:paraId="21B2334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Dilated cardiomyopathy</w:t>
            </w:r>
          </w:p>
        </w:tc>
        <w:tc>
          <w:tcPr>
            <w:tcW w:w="645" w:type="pct"/>
          </w:tcPr>
          <w:p w14:paraId="4C662E84"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0.271</w:t>
            </w:r>
          </w:p>
        </w:tc>
      </w:tr>
      <w:tr w:rsidR="00BB2342" w14:paraId="4806B268" w14:textId="77777777">
        <w:trPr>
          <w:trHeight w:val="429"/>
        </w:trPr>
        <w:tc>
          <w:tcPr>
            <w:tcW w:w="855" w:type="pct"/>
          </w:tcPr>
          <w:p w14:paraId="0DF902F4"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KEGG</w:t>
            </w:r>
          </w:p>
        </w:tc>
        <w:tc>
          <w:tcPr>
            <w:tcW w:w="839" w:type="pct"/>
          </w:tcPr>
          <w:p w14:paraId="24F3041D"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hsa05412</w:t>
            </w:r>
          </w:p>
        </w:tc>
        <w:tc>
          <w:tcPr>
            <w:tcW w:w="2661" w:type="pct"/>
          </w:tcPr>
          <w:p w14:paraId="19F18C3A"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Arrhythmogenic right ventricular cardiomyopathy</w:t>
            </w:r>
          </w:p>
        </w:tc>
        <w:tc>
          <w:tcPr>
            <w:tcW w:w="645" w:type="pct"/>
          </w:tcPr>
          <w:p w14:paraId="629D4FA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0.449</w:t>
            </w:r>
          </w:p>
        </w:tc>
      </w:tr>
      <w:tr w:rsidR="00BB2342" w14:paraId="48BE94FD" w14:textId="77777777">
        <w:trPr>
          <w:trHeight w:val="429"/>
        </w:trPr>
        <w:tc>
          <w:tcPr>
            <w:tcW w:w="855" w:type="pct"/>
          </w:tcPr>
          <w:p w14:paraId="43F724B6"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KEGG</w:t>
            </w:r>
          </w:p>
        </w:tc>
        <w:tc>
          <w:tcPr>
            <w:tcW w:w="839" w:type="pct"/>
          </w:tcPr>
          <w:p w14:paraId="7B48274A"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hsa02010</w:t>
            </w:r>
          </w:p>
        </w:tc>
        <w:tc>
          <w:tcPr>
            <w:tcW w:w="2661" w:type="pct"/>
          </w:tcPr>
          <w:p w14:paraId="1A18458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ABC transporters</w:t>
            </w:r>
          </w:p>
        </w:tc>
        <w:tc>
          <w:tcPr>
            <w:tcW w:w="645" w:type="pct"/>
          </w:tcPr>
          <w:p w14:paraId="303051CB"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0.449</w:t>
            </w:r>
          </w:p>
        </w:tc>
      </w:tr>
      <w:tr w:rsidR="00BB2342" w14:paraId="033835D5" w14:textId="77777777">
        <w:trPr>
          <w:trHeight w:val="429"/>
        </w:trPr>
        <w:tc>
          <w:tcPr>
            <w:tcW w:w="855" w:type="pct"/>
          </w:tcPr>
          <w:p w14:paraId="5266893F"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KEGG</w:t>
            </w:r>
          </w:p>
        </w:tc>
        <w:tc>
          <w:tcPr>
            <w:tcW w:w="839" w:type="pct"/>
          </w:tcPr>
          <w:p w14:paraId="42AC1FD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hsa04512</w:t>
            </w:r>
          </w:p>
        </w:tc>
        <w:tc>
          <w:tcPr>
            <w:tcW w:w="2661" w:type="pct"/>
          </w:tcPr>
          <w:p w14:paraId="604E286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ECM-receptor interaction</w:t>
            </w:r>
          </w:p>
        </w:tc>
        <w:tc>
          <w:tcPr>
            <w:tcW w:w="645" w:type="pct"/>
          </w:tcPr>
          <w:p w14:paraId="31722668"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0.449</w:t>
            </w:r>
          </w:p>
        </w:tc>
      </w:tr>
      <w:tr w:rsidR="00BB2342" w14:paraId="3BA5935E" w14:textId="77777777">
        <w:trPr>
          <w:trHeight w:val="429"/>
        </w:trPr>
        <w:tc>
          <w:tcPr>
            <w:tcW w:w="855" w:type="pct"/>
          </w:tcPr>
          <w:p w14:paraId="1E75DBE3"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KEGG</w:t>
            </w:r>
          </w:p>
        </w:tc>
        <w:tc>
          <w:tcPr>
            <w:tcW w:w="839" w:type="pct"/>
          </w:tcPr>
          <w:p w14:paraId="2A814D17"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hsa00140</w:t>
            </w:r>
          </w:p>
        </w:tc>
        <w:tc>
          <w:tcPr>
            <w:tcW w:w="2661" w:type="pct"/>
          </w:tcPr>
          <w:p w14:paraId="3D77299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Steroid hormone biosynthesis</w:t>
            </w:r>
          </w:p>
        </w:tc>
        <w:tc>
          <w:tcPr>
            <w:tcW w:w="645" w:type="pct"/>
          </w:tcPr>
          <w:p w14:paraId="1F84906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0.599</w:t>
            </w:r>
          </w:p>
        </w:tc>
      </w:tr>
      <w:tr w:rsidR="00BB2342" w14:paraId="678AB4CE" w14:textId="77777777">
        <w:trPr>
          <w:trHeight w:val="429"/>
        </w:trPr>
        <w:tc>
          <w:tcPr>
            <w:tcW w:w="855" w:type="pct"/>
          </w:tcPr>
          <w:p w14:paraId="5A135AF5"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KEGG</w:t>
            </w:r>
          </w:p>
        </w:tc>
        <w:tc>
          <w:tcPr>
            <w:tcW w:w="839" w:type="pct"/>
          </w:tcPr>
          <w:p w14:paraId="339552BB"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hsa00561</w:t>
            </w:r>
          </w:p>
        </w:tc>
        <w:tc>
          <w:tcPr>
            <w:tcW w:w="2661" w:type="pct"/>
          </w:tcPr>
          <w:p w14:paraId="02938EBA"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proofErr w:type="spellStart"/>
            <w:r>
              <w:rPr>
                <w:rFonts w:ascii="Arial" w:hAnsi="Arial" w:cs="Arial"/>
                <w:color w:val="000000"/>
                <w:sz w:val="20"/>
                <w:szCs w:val="20"/>
              </w:rPr>
              <w:t>Glycerolipid</w:t>
            </w:r>
            <w:proofErr w:type="spellEnd"/>
            <w:r>
              <w:rPr>
                <w:rFonts w:ascii="Arial" w:hAnsi="Arial" w:cs="Arial"/>
                <w:color w:val="000000"/>
                <w:sz w:val="20"/>
                <w:szCs w:val="20"/>
              </w:rPr>
              <w:t xml:space="preserve"> metabolism</w:t>
            </w:r>
          </w:p>
        </w:tc>
        <w:tc>
          <w:tcPr>
            <w:tcW w:w="645" w:type="pct"/>
          </w:tcPr>
          <w:p w14:paraId="71D7314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0.599</w:t>
            </w:r>
          </w:p>
        </w:tc>
      </w:tr>
      <w:tr w:rsidR="00BB2342" w14:paraId="5ADC5901" w14:textId="77777777">
        <w:trPr>
          <w:trHeight w:val="429"/>
        </w:trPr>
        <w:tc>
          <w:tcPr>
            <w:tcW w:w="855" w:type="pct"/>
          </w:tcPr>
          <w:p w14:paraId="4F473A59"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KEGG</w:t>
            </w:r>
          </w:p>
        </w:tc>
        <w:tc>
          <w:tcPr>
            <w:tcW w:w="839" w:type="pct"/>
          </w:tcPr>
          <w:p w14:paraId="7A96374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hsa00563</w:t>
            </w:r>
          </w:p>
        </w:tc>
        <w:tc>
          <w:tcPr>
            <w:tcW w:w="2661" w:type="pct"/>
          </w:tcPr>
          <w:p w14:paraId="6FD49668"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Glycosylphosphatidylinositol (GPI)-anchor biosynthesis</w:t>
            </w:r>
          </w:p>
        </w:tc>
        <w:tc>
          <w:tcPr>
            <w:tcW w:w="645" w:type="pct"/>
          </w:tcPr>
          <w:p w14:paraId="499B035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0.599</w:t>
            </w:r>
          </w:p>
        </w:tc>
      </w:tr>
      <w:tr w:rsidR="00BB2342" w14:paraId="1A885C8D" w14:textId="77777777">
        <w:trPr>
          <w:trHeight w:val="429"/>
        </w:trPr>
        <w:tc>
          <w:tcPr>
            <w:tcW w:w="855" w:type="pct"/>
          </w:tcPr>
          <w:p w14:paraId="524F55E0"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KEGG</w:t>
            </w:r>
          </w:p>
        </w:tc>
        <w:tc>
          <w:tcPr>
            <w:tcW w:w="839" w:type="pct"/>
          </w:tcPr>
          <w:p w14:paraId="489E5C6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hsa04726</w:t>
            </w:r>
          </w:p>
        </w:tc>
        <w:tc>
          <w:tcPr>
            <w:tcW w:w="2661" w:type="pct"/>
          </w:tcPr>
          <w:p w14:paraId="7E4B8FB7"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Serotonergic synapse</w:t>
            </w:r>
          </w:p>
        </w:tc>
        <w:tc>
          <w:tcPr>
            <w:tcW w:w="645" w:type="pct"/>
          </w:tcPr>
          <w:p w14:paraId="33D5577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0.599</w:t>
            </w:r>
          </w:p>
        </w:tc>
      </w:tr>
      <w:tr w:rsidR="00BB2342" w14:paraId="1714AC25" w14:textId="77777777">
        <w:trPr>
          <w:trHeight w:val="429"/>
        </w:trPr>
        <w:tc>
          <w:tcPr>
            <w:tcW w:w="855" w:type="pct"/>
            <w:tcBorders>
              <w:bottom w:val="single" w:sz="12" w:space="0" w:color="auto"/>
            </w:tcBorders>
          </w:tcPr>
          <w:p w14:paraId="7C53402C"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KEGG</w:t>
            </w:r>
          </w:p>
        </w:tc>
        <w:tc>
          <w:tcPr>
            <w:tcW w:w="839" w:type="pct"/>
            <w:tcBorders>
              <w:bottom w:val="single" w:sz="12" w:space="0" w:color="auto"/>
            </w:tcBorders>
          </w:tcPr>
          <w:p w14:paraId="20D1C59B"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hsa04110</w:t>
            </w:r>
          </w:p>
        </w:tc>
        <w:tc>
          <w:tcPr>
            <w:tcW w:w="2661" w:type="pct"/>
            <w:tcBorders>
              <w:bottom w:val="single" w:sz="12" w:space="0" w:color="auto"/>
            </w:tcBorders>
          </w:tcPr>
          <w:p w14:paraId="2A969B42"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Cell cycle</w:t>
            </w:r>
          </w:p>
        </w:tc>
        <w:tc>
          <w:tcPr>
            <w:tcW w:w="645" w:type="pct"/>
            <w:tcBorders>
              <w:bottom w:val="single" w:sz="12" w:space="0" w:color="auto"/>
            </w:tcBorders>
          </w:tcPr>
          <w:p w14:paraId="6ECF058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0.735</w:t>
            </w:r>
          </w:p>
        </w:tc>
      </w:tr>
    </w:tbl>
    <w:p w14:paraId="0F1CCAA8" w14:textId="77777777" w:rsidR="00BB2342" w:rsidRDefault="00000000">
      <w:pPr>
        <w:spacing w:line="480" w:lineRule="auto"/>
        <w:rPr>
          <w:rFonts w:ascii="Arial" w:hAnsi="Arial" w:cs="Arial"/>
          <w:sz w:val="20"/>
          <w:szCs w:val="20"/>
        </w:rPr>
      </w:pPr>
      <w:r>
        <w:rPr>
          <w:rFonts w:ascii="Arial" w:hAnsi="Arial" w:cs="Arial"/>
          <w:sz w:val="20"/>
          <w:szCs w:val="20"/>
        </w:rPr>
        <w:t>KEGG</w:t>
      </w:r>
      <w:r>
        <w:rPr>
          <w:rFonts w:ascii="Arial" w:eastAsia="MS Gothic" w:hAnsi="Arial" w:cs="Arial"/>
          <w:sz w:val="20"/>
          <w:szCs w:val="20"/>
        </w:rPr>
        <w:t xml:space="preserve">, </w:t>
      </w:r>
      <w:r>
        <w:rPr>
          <w:rFonts w:ascii="Arial" w:hAnsi="Arial" w:cs="Arial"/>
          <w:sz w:val="20"/>
          <w:szCs w:val="20"/>
        </w:rPr>
        <w:t>Kyoto Encyclopedia of Genes and Genomes.</w:t>
      </w:r>
    </w:p>
    <w:p w14:paraId="5E973FE2" w14:textId="77777777" w:rsidR="00BB2342" w:rsidRDefault="00BB2342">
      <w:pPr>
        <w:spacing w:before="0" w:after="0" w:line="480" w:lineRule="auto"/>
        <w:rPr>
          <w:rFonts w:ascii="Arial" w:hAnsi="Arial" w:cs="Arial"/>
          <w:b/>
          <w:bCs/>
          <w:sz w:val="20"/>
          <w:szCs w:val="20"/>
        </w:rPr>
      </w:pPr>
    </w:p>
    <w:p w14:paraId="6B7AAB6C" w14:textId="77777777" w:rsidR="00BB2342" w:rsidRDefault="00000000">
      <w:pPr>
        <w:spacing w:before="0" w:after="0" w:line="480" w:lineRule="auto"/>
        <w:rPr>
          <w:rFonts w:ascii="Arial" w:eastAsiaTheme="minorEastAsia" w:hAnsi="Arial" w:cs="Arial"/>
          <w:kern w:val="2"/>
          <w:sz w:val="20"/>
          <w:szCs w:val="20"/>
          <w:lang w:eastAsia="zh-CN"/>
        </w:rPr>
      </w:pPr>
      <w:r>
        <w:rPr>
          <w:rFonts w:ascii="Arial" w:hAnsi="Arial" w:cs="Arial"/>
          <w:b/>
          <w:bCs/>
          <w:sz w:val="20"/>
          <w:szCs w:val="20"/>
        </w:rPr>
        <w:t>Table S</w:t>
      </w:r>
      <w:r>
        <w:rPr>
          <w:rFonts w:ascii="Arial" w:eastAsia="SimSun" w:hAnsi="Arial" w:cs="Arial"/>
          <w:b/>
          <w:bCs/>
          <w:sz w:val="20"/>
          <w:szCs w:val="20"/>
          <w:lang w:eastAsia="zh-CN"/>
        </w:rPr>
        <w:t xml:space="preserve">4 </w:t>
      </w:r>
      <w:r>
        <w:rPr>
          <w:rFonts w:ascii="Arial" w:hAnsi="Arial" w:cs="Arial"/>
          <w:sz w:val="20"/>
          <w:szCs w:val="20"/>
        </w:rPr>
        <w:t>GSEA of two CAD subtypes</w:t>
      </w:r>
    </w:p>
    <w:tbl>
      <w:tblPr>
        <w:tblpPr w:leftFromText="180" w:rightFromText="180" w:vertAnchor="text" w:horzAnchor="page" w:tblpX="1339" w:tblpY="308"/>
        <w:tblOverlap w:val="never"/>
        <w:tblW w:w="5000" w:type="pct"/>
        <w:tblBorders>
          <w:top w:val="single" w:sz="8" w:space="0" w:color="000000"/>
          <w:bottom w:val="single" w:sz="8" w:space="0" w:color="000000"/>
        </w:tblBorders>
        <w:tblLook w:val="04A0" w:firstRow="1" w:lastRow="0" w:firstColumn="1" w:lastColumn="0" w:noHBand="0" w:noVBand="1"/>
      </w:tblPr>
      <w:tblGrid>
        <w:gridCol w:w="5770"/>
        <w:gridCol w:w="1283"/>
        <w:gridCol w:w="1443"/>
        <w:gridCol w:w="1281"/>
      </w:tblGrid>
      <w:tr w:rsidR="00BB2342" w14:paraId="26EE81F1" w14:textId="77777777">
        <w:trPr>
          <w:trHeight w:val="415"/>
        </w:trPr>
        <w:tc>
          <w:tcPr>
            <w:tcW w:w="2951" w:type="pct"/>
            <w:tcBorders>
              <w:top w:val="single" w:sz="12" w:space="0" w:color="auto"/>
            </w:tcBorders>
          </w:tcPr>
          <w:p w14:paraId="5C0F44C5"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sz w:val="20"/>
                <w:szCs w:val="20"/>
              </w:rPr>
              <w:t>ID</w:t>
            </w:r>
          </w:p>
        </w:tc>
        <w:tc>
          <w:tcPr>
            <w:tcW w:w="656" w:type="pct"/>
            <w:tcBorders>
              <w:top w:val="single" w:sz="12" w:space="0" w:color="auto"/>
            </w:tcBorders>
          </w:tcPr>
          <w:p w14:paraId="50CE2131"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sz w:val="20"/>
                <w:szCs w:val="20"/>
              </w:rPr>
              <w:t>ES</w:t>
            </w:r>
          </w:p>
        </w:tc>
        <w:tc>
          <w:tcPr>
            <w:tcW w:w="738" w:type="pct"/>
            <w:tcBorders>
              <w:top w:val="single" w:sz="12" w:space="0" w:color="auto"/>
            </w:tcBorders>
          </w:tcPr>
          <w:p w14:paraId="0EDC36A9"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sz w:val="20"/>
                <w:szCs w:val="20"/>
              </w:rPr>
              <w:t>NES</w:t>
            </w:r>
          </w:p>
        </w:tc>
        <w:tc>
          <w:tcPr>
            <w:tcW w:w="655" w:type="pct"/>
            <w:tcBorders>
              <w:top w:val="single" w:sz="12" w:space="0" w:color="auto"/>
            </w:tcBorders>
          </w:tcPr>
          <w:p w14:paraId="3129AD6A"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i/>
                <w:iCs/>
                <w:sz w:val="20"/>
                <w:szCs w:val="20"/>
              </w:rPr>
              <w:t>P</w:t>
            </w:r>
            <w:r>
              <w:rPr>
                <w:rFonts w:ascii="Arial" w:eastAsia="SimSun" w:hAnsi="Arial" w:cs="Arial"/>
                <w:b/>
                <w:bCs/>
                <w:iCs/>
                <w:sz w:val="20"/>
                <w:szCs w:val="20"/>
              </w:rPr>
              <w:t>-</w:t>
            </w:r>
            <w:r>
              <w:rPr>
                <w:rFonts w:ascii="Arial" w:eastAsia="SimSun" w:hAnsi="Arial" w:cs="Arial"/>
                <w:b/>
                <w:bCs/>
                <w:sz w:val="20"/>
                <w:szCs w:val="20"/>
              </w:rPr>
              <w:t>value</w:t>
            </w:r>
          </w:p>
        </w:tc>
      </w:tr>
      <w:tr w:rsidR="00BB2342" w14:paraId="79F1E3A1" w14:textId="77777777">
        <w:trPr>
          <w:trHeight w:val="341"/>
        </w:trPr>
        <w:tc>
          <w:tcPr>
            <w:tcW w:w="2951" w:type="pct"/>
            <w:tcBorders>
              <w:top w:val="single" w:sz="8" w:space="0" w:color="000000"/>
            </w:tcBorders>
          </w:tcPr>
          <w:p w14:paraId="26FBCA80"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GO cation channel activity</w:t>
            </w:r>
          </w:p>
        </w:tc>
        <w:tc>
          <w:tcPr>
            <w:tcW w:w="656" w:type="pct"/>
            <w:tcBorders>
              <w:top w:val="single" w:sz="8" w:space="0" w:color="000000"/>
            </w:tcBorders>
          </w:tcPr>
          <w:p w14:paraId="24946313"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-0.513</w:t>
            </w:r>
          </w:p>
        </w:tc>
        <w:tc>
          <w:tcPr>
            <w:tcW w:w="738" w:type="pct"/>
            <w:tcBorders>
              <w:top w:val="single" w:sz="8" w:space="0" w:color="000000"/>
            </w:tcBorders>
          </w:tcPr>
          <w:p w14:paraId="6BA989D2"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-1.77</w:t>
            </w:r>
          </w:p>
        </w:tc>
        <w:tc>
          <w:tcPr>
            <w:tcW w:w="655" w:type="pct"/>
            <w:tcBorders>
              <w:top w:val="single" w:sz="8" w:space="0" w:color="000000"/>
            </w:tcBorders>
          </w:tcPr>
          <w:p w14:paraId="621926C9"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1.00E-10</w:t>
            </w:r>
          </w:p>
        </w:tc>
      </w:tr>
      <w:tr w:rsidR="00BB2342" w14:paraId="75BF9B27" w14:textId="77777777">
        <w:trPr>
          <w:trHeight w:val="349"/>
        </w:trPr>
        <w:tc>
          <w:tcPr>
            <w:tcW w:w="2951" w:type="pct"/>
          </w:tcPr>
          <w:p w14:paraId="4FB685EF"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GO cation channel complex</w:t>
            </w:r>
          </w:p>
        </w:tc>
        <w:tc>
          <w:tcPr>
            <w:tcW w:w="656" w:type="pct"/>
          </w:tcPr>
          <w:p w14:paraId="283CF1C6"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-0.566</w:t>
            </w:r>
          </w:p>
        </w:tc>
        <w:tc>
          <w:tcPr>
            <w:tcW w:w="738" w:type="pct"/>
          </w:tcPr>
          <w:p w14:paraId="45140B80"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-1.93</w:t>
            </w:r>
          </w:p>
        </w:tc>
        <w:tc>
          <w:tcPr>
            <w:tcW w:w="655" w:type="pct"/>
          </w:tcPr>
          <w:p w14:paraId="2D0A0DC9"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1.00E-10</w:t>
            </w:r>
          </w:p>
        </w:tc>
      </w:tr>
      <w:tr w:rsidR="00BB2342" w14:paraId="383C4D3B" w14:textId="77777777">
        <w:trPr>
          <w:trHeight w:val="429"/>
        </w:trPr>
        <w:tc>
          <w:tcPr>
            <w:tcW w:w="2951" w:type="pct"/>
          </w:tcPr>
          <w:p w14:paraId="52B01DC7"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GO cation transmembrane transporter activity</w:t>
            </w:r>
          </w:p>
        </w:tc>
        <w:tc>
          <w:tcPr>
            <w:tcW w:w="656" w:type="pct"/>
          </w:tcPr>
          <w:p w14:paraId="497349D0"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-0.467</w:t>
            </w:r>
          </w:p>
        </w:tc>
        <w:tc>
          <w:tcPr>
            <w:tcW w:w="738" w:type="pct"/>
          </w:tcPr>
          <w:p w14:paraId="66E38754"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-1.644</w:t>
            </w:r>
          </w:p>
        </w:tc>
        <w:tc>
          <w:tcPr>
            <w:tcW w:w="655" w:type="pct"/>
          </w:tcPr>
          <w:p w14:paraId="41CB8864"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1.00E-10</w:t>
            </w:r>
          </w:p>
        </w:tc>
      </w:tr>
      <w:tr w:rsidR="00BB2342" w14:paraId="0BDA72CB" w14:textId="77777777">
        <w:trPr>
          <w:trHeight w:val="429"/>
        </w:trPr>
        <w:tc>
          <w:tcPr>
            <w:tcW w:w="2951" w:type="pct"/>
          </w:tcPr>
          <w:p w14:paraId="7C6B8F4C"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GO ficolin 1 rich granule</w:t>
            </w:r>
          </w:p>
        </w:tc>
        <w:tc>
          <w:tcPr>
            <w:tcW w:w="656" w:type="pct"/>
          </w:tcPr>
          <w:p w14:paraId="45653FA9"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0.530</w:t>
            </w:r>
          </w:p>
        </w:tc>
        <w:tc>
          <w:tcPr>
            <w:tcW w:w="738" w:type="pct"/>
          </w:tcPr>
          <w:p w14:paraId="58480358"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2.91</w:t>
            </w:r>
          </w:p>
        </w:tc>
        <w:tc>
          <w:tcPr>
            <w:tcW w:w="655" w:type="pct"/>
          </w:tcPr>
          <w:p w14:paraId="5DB535B6"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1.00E-10</w:t>
            </w:r>
          </w:p>
        </w:tc>
      </w:tr>
      <w:tr w:rsidR="00BB2342" w14:paraId="2053EE8F" w14:textId="77777777">
        <w:trPr>
          <w:trHeight w:val="429"/>
        </w:trPr>
        <w:tc>
          <w:tcPr>
            <w:tcW w:w="2951" w:type="pct"/>
          </w:tcPr>
          <w:p w14:paraId="567289E5"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GO gated channel activity</w:t>
            </w:r>
          </w:p>
        </w:tc>
        <w:tc>
          <w:tcPr>
            <w:tcW w:w="656" w:type="pct"/>
          </w:tcPr>
          <w:p w14:paraId="03210038"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-0.522</w:t>
            </w:r>
          </w:p>
        </w:tc>
        <w:tc>
          <w:tcPr>
            <w:tcW w:w="738" w:type="pct"/>
          </w:tcPr>
          <w:p w14:paraId="241218A5"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-1.81</w:t>
            </w:r>
          </w:p>
        </w:tc>
        <w:tc>
          <w:tcPr>
            <w:tcW w:w="655" w:type="pct"/>
          </w:tcPr>
          <w:p w14:paraId="6548438A"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1.00E-10</w:t>
            </w:r>
          </w:p>
        </w:tc>
      </w:tr>
      <w:tr w:rsidR="00BB2342" w14:paraId="7C149A0F" w14:textId="77777777">
        <w:trPr>
          <w:trHeight w:val="429"/>
        </w:trPr>
        <w:tc>
          <w:tcPr>
            <w:tcW w:w="2951" w:type="pct"/>
          </w:tcPr>
          <w:p w14:paraId="4EF3AD3A"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GO g protein coupled receptor activity</w:t>
            </w:r>
          </w:p>
        </w:tc>
        <w:tc>
          <w:tcPr>
            <w:tcW w:w="656" w:type="pct"/>
          </w:tcPr>
          <w:p w14:paraId="75497CA2"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-0.515</w:t>
            </w:r>
          </w:p>
        </w:tc>
        <w:tc>
          <w:tcPr>
            <w:tcW w:w="738" w:type="pct"/>
          </w:tcPr>
          <w:p w14:paraId="1F3F48A4"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-1.80</w:t>
            </w:r>
          </w:p>
        </w:tc>
        <w:tc>
          <w:tcPr>
            <w:tcW w:w="655" w:type="pct"/>
          </w:tcPr>
          <w:p w14:paraId="59D283BC"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1.00E-10</w:t>
            </w:r>
          </w:p>
        </w:tc>
      </w:tr>
      <w:tr w:rsidR="00BB2342" w14:paraId="7B8CBB84" w14:textId="77777777">
        <w:trPr>
          <w:trHeight w:val="429"/>
        </w:trPr>
        <w:tc>
          <w:tcPr>
            <w:tcW w:w="2951" w:type="pct"/>
          </w:tcPr>
          <w:p w14:paraId="3D673EB1"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GO metal ion transmembrane transporter activity</w:t>
            </w:r>
          </w:p>
        </w:tc>
        <w:tc>
          <w:tcPr>
            <w:tcW w:w="656" w:type="pct"/>
          </w:tcPr>
          <w:p w14:paraId="3CDCCEEA"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-0.487</w:t>
            </w:r>
          </w:p>
        </w:tc>
        <w:tc>
          <w:tcPr>
            <w:tcW w:w="738" w:type="pct"/>
          </w:tcPr>
          <w:p w14:paraId="7DFAACD6"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-1.70</w:t>
            </w:r>
          </w:p>
        </w:tc>
        <w:tc>
          <w:tcPr>
            <w:tcW w:w="655" w:type="pct"/>
          </w:tcPr>
          <w:p w14:paraId="14C59909"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1.00E-10</w:t>
            </w:r>
          </w:p>
        </w:tc>
      </w:tr>
      <w:tr w:rsidR="00BB2342" w14:paraId="442A7F0D" w14:textId="77777777">
        <w:trPr>
          <w:trHeight w:val="429"/>
        </w:trPr>
        <w:tc>
          <w:tcPr>
            <w:tcW w:w="2951" w:type="pct"/>
          </w:tcPr>
          <w:p w14:paraId="6102C192"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GO passive transmembrane transporter activity</w:t>
            </w:r>
          </w:p>
        </w:tc>
        <w:tc>
          <w:tcPr>
            <w:tcW w:w="656" w:type="pct"/>
          </w:tcPr>
          <w:p w14:paraId="41C8D960"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-0.488</w:t>
            </w:r>
          </w:p>
        </w:tc>
        <w:tc>
          <w:tcPr>
            <w:tcW w:w="738" w:type="pct"/>
          </w:tcPr>
          <w:p w14:paraId="514821D3"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-1.70</w:t>
            </w:r>
          </w:p>
        </w:tc>
        <w:tc>
          <w:tcPr>
            <w:tcW w:w="655" w:type="pct"/>
          </w:tcPr>
          <w:p w14:paraId="57466F59"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1.00E-10</w:t>
            </w:r>
          </w:p>
        </w:tc>
      </w:tr>
      <w:tr w:rsidR="00BB2342" w14:paraId="76FB54E2" w14:textId="77777777">
        <w:trPr>
          <w:trHeight w:val="429"/>
        </w:trPr>
        <w:tc>
          <w:tcPr>
            <w:tcW w:w="2951" w:type="pct"/>
          </w:tcPr>
          <w:p w14:paraId="2D58E7C5"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GO pattern specification process</w:t>
            </w:r>
          </w:p>
        </w:tc>
        <w:tc>
          <w:tcPr>
            <w:tcW w:w="656" w:type="pct"/>
          </w:tcPr>
          <w:p w14:paraId="46C0466F"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-0.475</w:t>
            </w:r>
          </w:p>
        </w:tc>
        <w:tc>
          <w:tcPr>
            <w:tcW w:w="738" w:type="pct"/>
          </w:tcPr>
          <w:p w14:paraId="595AF04E"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-1.66</w:t>
            </w:r>
          </w:p>
        </w:tc>
        <w:tc>
          <w:tcPr>
            <w:tcW w:w="655" w:type="pct"/>
          </w:tcPr>
          <w:p w14:paraId="10C1D454" w14:textId="77777777" w:rsidR="00BB2342" w:rsidRDefault="00000000">
            <w:pPr>
              <w:spacing w:before="0" w:after="0" w:line="480" w:lineRule="auto"/>
              <w:textAlignment w:val="center"/>
              <w:rPr>
                <w:rFonts w:ascii="Arial" w:eastAsia="SimSun" w:hAnsi="Arial" w:cs="Arial"/>
                <w:color w:val="000000" w:themeColor="text1"/>
                <w:sz w:val="20"/>
                <w:szCs w:val="20"/>
              </w:rPr>
            </w:pPr>
            <w:r>
              <w:rPr>
                <w:rFonts w:ascii="Arial" w:eastAsia="SimSun" w:hAnsi="Arial" w:cs="Arial"/>
                <w:color w:val="000000"/>
                <w:sz w:val="20"/>
                <w:szCs w:val="20"/>
              </w:rPr>
              <w:t>1.00E-10</w:t>
            </w:r>
          </w:p>
        </w:tc>
      </w:tr>
      <w:tr w:rsidR="00BB2342" w14:paraId="1D465CF4" w14:textId="77777777">
        <w:trPr>
          <w:trHeight w:val="429"/>
        </w:trPr>
        <w:tc>
          <w:tcPr>
            <w:tcW w:w="2951" w:type="pct"/>
          </w:tcPr>
          <w:p w14:paraId="22F44F0D" w14:textId="77777777" w:rsidR="00BB2342" w:rsidRDefault="00000000">
            <w:pPr>
              <w:spacing w:before="0" w:after="0" w:line="480" w:lineRule="auto"/>
              <w:textAlignment w:val="center"/>
              <w:rPr>
                <w:rFonts w:ascii="Arial" w:eastAsia="SimSun" w:hAnsi="Arial" w:cs="Arial"/>
                <w:sz w:val="20"/>
                <w:szCs w:val="20"/>
              </w:rPr>
            </w:pPr>
            <w:r>
              <w:rPr>
                <w:rFonts w:ascii="Arial" w:eastAsia="SimSun" w:hAnsi="Arial" w:cs="Arial"/>
                <w:color w:val="000000"/>
                <w:sz w:val="20"/>
                <w:szCs w:val="20"/>
              </w:rPr>
              <w:t>GO phagocytic vesicle</w:t>
            </w:r>
          </w:p>
        </w:tc>
        <w:tc>
          <w:tcPr>
            <w:tcW w:w="656" w:type="pct"/>
          </w:tcPr>
          <w:p w14:paraId="11895D66" w14:textId="77777777" w:rsidR="00BB2342" w:rsidRDefault="00000000">
            <w:pPr>
              <w:spacing w:before="0" w:after="0" w:line="480" w:lineRule="auto"/>
              <w:textAlignment w:val="center"/>
              <w:rPr>
                <w:rFonts w:ascii="Arial" w:eastAsia="SimSun" w:hAnsi="Arial" w:cs="Arial"/>
                <w:sz w:val="20"/>
                <w:szCs w:val="20"/>
              </w:rPr>
            </w:pPr>
            <w:r>
              <w:rPr>
                <w:rFonts w:ascii="Arial" w:eastAsia="SimSun" w:hAnsi="Arial" w:cs="Arial"/>
                <w:color w:val="000000"/>
                <w:sz w:val="20"/>
                <w:szCs w:val="20"/>
              </w:rPr>
              <w:t>0.443</w:t>
            </w:r>
          </w:p>
        </w:tc>
        <w:tc>
          <w:tcPr>
            <w:tcW w:w="738" w:type="pct"/>
          </w:tcPr>
          <w:p w14:paraId="5DD0C3F5" w14:textId="77777777" w:rsidR="00BB2342" w:rsidRDefault="00000000">
            <w:pPr>
              <w:spacing w:before="0" w:after="0" w:line="480" w:lineRule="auto"/>
              <w:textAlignment w:val="center"/>
              <w:rPr>
                <w:rFonts w:ascii="Arial" w:eastAsia="SimSun" w:hAnsi="Arial" w:cs="Arial"/>
                <w:sz w:val="20"/>
                <w:szCs w:val="20"/>
              </w:rPr>
            </w:pPr>
            <w:r>
              <w:rPr>
                <w:rFonts w:ascii="Arial" w:eastAsia="SimSun" w:hAnsi="Arial" w:cs="Arial"/>
                <w:color w:val="000000"/>
                <w:sz w:val="20"/>
                <w:szCs w:val="20"/>
              </w:rPr>
              <w:t>2.43</w:t>
            </w:r>
          </w:p>
        </w:tc>
        <w:tc>
          <w:tcPr>
            <w:tcW w:w="655" w:type="pct"/>
          </w:tcPr>
          <w:p w14:paraId="2CFA66CC" w14:textId="77777777" w:rsidR="00BB2342" w:rsidRDefault="00000000">
            <w:pPr>
              <w:spacing w:before="0" w:after="0" w:line="480" w:lineRule="auto"/>
              <w:textAlignment w:val="center"/>
              <w:rPr>
                <w:rFonts w:ascii="Arial" w:eastAsia="SimSun" w:hAnsi="Arial" w:cs="Arial"/>
                <w:sz w:val="20"/>
                <w:szCs w:val="20"/>
              </w:rPr>
            </w:pPr>
            <w:r>
              <w:rPr>
                <w:rFonts w:ascii="Arial" w:eastAsia="SimSun" w:hAnsi="Arial" w:cs="Arial"/>
                <w:color w:val="000000"/>
                <w:sz w:val="20"/>
                <w:szCs w:val="20"/>
              </w:rPr>
              <w:t>1.00E-10</w:t>
            </w:r>
          </w:p>
        </w:tc>
      </w:tr>
      <w:tr w:rsidR="00BB2342" w14:paraId="5CBC2A2D" w14:textId="77777777">
        <w:trPr>
          <w:trHeight w:val="429"/>
        </w:trPr>
        <w:tc>
          <w:tcPr>
            <w:tcW w:w="2951" w:type="pct"/>
          </w:tcPr>
          <w:p w14:paraId="2F68C300"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GO receptor regulator activity</w:t>
            </w:r>
          </w:p>
        </w:tc>
        <w:tc>
          <w:tcPr>
            <w:tcW w:w="656" w:type="pct"/>
          </w:tcPr>
          <w:p w14:paraId="610D9FFA"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-0.485</w:t>
            </w:r>
          </w:p>
        </w:tc>
        <w:tc>
          <w:tcPr>
            <w:tcW w:w="738" w:type="pct"/>
          </w:tcPr>
          <w:p w14:paraId="62BF36E0"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-1.70</w:t>
            </w:r>
          </w:p>
        </w:tc>
        <w:tc>
          <w:tcPr>
            <w:tcW w:w="655" w:type="pct"/>
          </w:tcPr>
          <w:p w14:paraId="5CA90F48"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1.00E-10</w:t>
            </w:r>
          </w:p>
        </w:tc>
      </w:tr>
      <w:tr w:rsidR="00BB2342" w14:paraId="1EF56B21" w14:textId="77777777">
        <w:trPr>
          <w:trHeight w:val="429"/>
        </w:trPr>
        <w:tc>
          <w:tcPr>
            <w:tcW w:w="2951" w:type="pct"/>
          </w:tcPr>
          <w:p w14:paraId="39AAE534"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GO sensory perception</w:t>
            </w:r>
          </w:p>
        </w:tc>
        <w:tc>
          <w:tcPr>
            <w:tcW w:w="656" w:type="pct"/>
          </w:tcPr>
          <w:p w14:paraId="6C27C219"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-0.494</w:t>
            </w:r>
          </w:p>
        </w:tc>
        <w:tc>
          <w:tcPr>
            <w:tcW w:w="738" w:type="pct"/>
          </w:tcPr>
          <w:p w14:paraId="4C4E1A7D"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-1.73</w:t>
            </w:r>
          </w:p>
        </w:tc>
        <w:tc>
          <w:tcPr>
            <w:tcW w:w="655" w:type="pct"/>
          </w:tcPr>
          <w:p w14:paraId="6B5B0C58"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1.00E-10</w:t>
            </w:r>
          </w:p>
        </w:tc>
      </w:tr>
      <w:tr w:rsidR="00BB2342" w14:paraId="209F76BD" w14:textId="77777777">
        <w:trPr>
          <w:trHeight w:val="429"/>
        </w:trPr>
        <w:tc>
          <w:tcPr>
            <w:tcW w:w="2951" w:type="pct"/>
          </w:tcPr>
          <w:p w14:paraId="481B9ED7"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GO synaptic membrane</w:t>
            </w:r>
          </w:p>
        </w:tc>
        <w:tc>
          <w:tcPr>
            <w:tcW w:w="656" w:type="pct"/>
          </w:tcPr>
          <w:p w14:paraId="66A96D61"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-0.481</w:t>
            </w:r>
          </w:p>
        </w:tc>
        <w:tc>
          <w:tcPr>
            <w:tcW w:w="738" w:type="pct"/>
          </w:tcPr>
          <w:p w14:paraId="0CD602D3"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-1.68</w:t>
            </w:r>
          </w:p>
        </w:tc>
        <w:tc>
          <w:tcPr>
            <w:tcW w:w="655" w:type="pct"/>
          </w:tcPr>
          <w:p w14:paraId="0937114D"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1.00E-10</w:t>
            </w:r>
          </w:p>
        </w:tc>
      </w:tr>
      <w:tr w:rsidR="00BB2342" w14:paraId="11CAD221" w14:textId="77777777">
        <w:trPr>
          <w:trHeight w:val="429"/>
        </w:trPr>
        <w:tc>
          <w:tcPr>
            <w:tcW w:w="2951" w:type="pct"/>
          </w:tcPr>
          <w:p w14:paraId="209AFA3E"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lastRenderedPageBreak/>
              <w:t>GO transporter complex</w:t>
            </w:r>
          </w:p>
        </w:tc>
        <w:tc>
          <w:tcPr>
            <w:tcW w:w="656" w:type="pct"/>
          </w:tcPr>
          <w:p w14:paraId="747EDE3C"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-0.525</w:t>
            </w:r>
          </w:p>
        </w:tc>
        <w:tc>
          <w:tcPr>
            <w:tcW w:w="738" w:type="pct"/>
          </w:tcPr>
          <w:p w14:paraId="4220891A"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-1.82</w:t>
            </w:r>
          </w:p>
        </w:tc>
        <w:tc>
          <w:tcPr>
            <w:tcW w:w="655" w:type="pct"/>
          </w:tcPr>
          <w:p w14:paraId="75387419"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1.00E-10</w:t>
            </w:r>
          </w:p>
        </w:tc>
      </w:tr>
      <w:tr w:rsidR="00BB2342" w14:paraId="2382B09F" w14:textId="77777777">
        <w:trPr>
          <w:trHeight w:val="429"/>
        </w:trPr>
        <w:tc>
          <w:tcPr>
            <w:tcW w:w="2951" w:type="pct"/>
          </w:tcPr>
          <w:p w14:paraId="2CEBF6F5"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GO embryonic organ morphogenesis</w:t>
            </w:r>
          </w:p>
        </w:tc>
        <w:tc>
          <w:tcPr>
            <w:tcW w:w="656" w:type="pct"/>
          </w:tcPr>
          <w:p w14:paraId="736DECF8"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-0.502</w:t>
            </w:r>
          </w:p>
        </w:tc>
        <w:tc>
          <w:tcPr>
            <w:tcW w:w="738" w:type="pct"/>
          </w:tcPr>
          <w:p w14:paraId="5B28C95F"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-1.74</w:t>
            </w:r>
          </w:p>
        </w:tc>
        <w:tc>
          <w:tcPr>
            <w:tcW w:w="655" w:type="pct"/>
          </w:tcPr>
          <w:p w14:paraId="46C23547"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2.38E-10</w:t>
            </w:r>
          </w:p>
        </w:tc>
      </w:tr>
      <w:tr w:rsidR="00BB2342" w14:paraId="12CE897B" w14:textId="77777777">
        <w:trPr>
          <w:trHeight w:val="429"/>
        </w:trPr>
        <w:tc>
          <w:tcPr>
            <w:tcW w:w="2951" w:type="pct"/>
          </w:tcPr>
          <w:p w14:paraId="67BE96B5"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GO cell fate commitment</w:t>
            </w:r>
          </w:p>
        </w:tc>
        <w:tc>
          <w:tcPr>
            <w:tcW w:w="656" w:type="pct"/>
          </w:tcPr>
          <w:p w14:paraId="15A87A85"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-0.509</w:t>
            </w:r>
          </w:p>
        </w:tc>
        <w:tc>
          <w:tcPr>
            <w:tcW w:w="738" w:type="pct"/>
          </w:tcPr>
          <w:p w14:paraId="7B70EED8"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-1.75</w:t>
            </w:r>
          </w:p>
        </w:tc>
        <w:tc>
          <w:tcPr>
            <w:tcW w:w="655" w:type="pct"/>
          </w:tcPr>
          <w:p w14:paraId="3687CCF4"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1.06E-09</w:t>
            </w:r>
          </w:p>
        </w:tc>
      </w:tr>
      <w:tr w:rsidR="00BB2342" w14:paraId="63E53D22" w14:textId="77777777">
        <w:trPr>
          <w:trHeight w:val="429"/>
        </w:trPr>
        <w:tc>
          <w:tcPr>
            <w:tcW w:w="2951" w:type="pct"/>
          </w:tcPr>
          <w:p w14:paraId="187CE92F"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GO regulation of system process</w:t>
            </w:r>
          </w:p>
        </w:tc>
        <w:tc>
          <w:tcPr>
            <w:tcW w:w="656" w:type="pct"/>
          </w:tcPr>
          <w:p w14:paraId="0B0A7E14"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-0.431</w:t>
            </w:r>
          </w:p>
        </w:tc>
        <w:tc>
          <w:tcPr>
            <w:tcW w:w="738" w:type="pct"/>
          </w:tcPr>
          <w:p w14:paraId="2C937C1D"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-1.52</w:t>
            </w:r>
          </w:p>
        </w:tc>
        <w:tc>
          <w:tcPr>
            <w:tcW w:w="655" w:type="pct"/>
          </w:tcPr>
          <w:p w14:paraId="310D3CE0"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2.00E-09</w:t>
            </w:r>
          </w:p>
        </w:tc>
      </w:tr>
      <w:tr w:rsidR="00BB2342" w14:paraId="030D1CAF" w14:textId="77777777">
        <w:trPr>
          <w:trHeight w:val="429"/>
        </w:trPr>
        <w:tc>
          <w:tcPr>
            <w:tcW w:w="2951" w:type="pct"/>
          </w:tcPr>
          <w:p w14:paraId="6C67206F"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GO behavior</w:t>
            </w:r>
          </w:p>
        </w:tc>
        <w:tc>
          <w:tcPr>
            <w:tcW w:w="656" w:type="pct"/>
          </w:tcPr>
          <w:p w14:paraId="4B542F6B"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-0.429</w:t>
            </w:r>
          </w:p>
        </w:tc>
        <w:tc>
          <w:tcPr>
            <w:tcW w:w="738" w:type="pct"/>
          </w:tcPr>
          <w:p w14:paraId="77AC07B1"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-1.51</w:t>
            </w:r>
          </w:p>
        </w:tc>
        <w:tc>
          <w:tcPr>
            <w:tcW w:w="655" w:type="pct"/>
          </w:tcPr>
          <w:p w14:paraId="1DAFF9C1"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2.45E-09</w:t>
            </w:r>
          </w:p>
        </w:tc>
      </w:tr>
      <w:tr w:rsidR="00BB2342" w14:paraId="6ACE1F20" w14:textId="77777777">
        <w:trPr>
          <w:trHeight w:val="429"/>
        </w:trPr>
        <w:tc>
          <w:tcPr>
            <w:tcW w:w="2951" w:type="pct"/>
          </w:tcPr>
          <w:p w14:paraId="29122890"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GO monovalent inorganic cation transmembrane transporter activity</w:t>
            </w:r>
          </w:p>
        </w:tc>
        <w:tc>
          <w:tcPr>
            <w:tcW w:w="656" w:type="pct"/>
          </w:tcPr>
          <w:p w14:paraId="38AADEA1"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-0.478</w:t>
            </w:r>
          </w:p>
        </w:tc>
        <w:tc>
          <w:tcPr>
            <w:tcW w:w="738" w:type="pct"/>
          </w:tcPr>
          <w:p w14:paraId="0E2B8774"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-1.66</w:t>
            </w:r>
          </w:p>
        </w:tc>
        <w:tc>
          <w:tcPr>
            <w:tcW w:w="655" w:type="pct"/>
          </w:tcPr>
          <w:p w14:paraId="36F83320"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3.50E-09</w:t>
            </w:r>
          </w:p>
        </w:tc>
      </w:tr>
      <w:tr w:rsidR="00BB2342" w14:paraId="4161CA30" w14:textId="77777777">
        <w:trPr>
          <w:trHeight w:val="429"/>
        </w:trPr>
        <w:tc>
          <w:tcPr>
            <w:tcW w:w="2951" w:type="pct"/>
          </w:tcPr>
          <w:p w14:paraId="008CF9ED"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GO regionalization</w:t>
            </w:r>
          </w:p>
        </w:tc>
        <w:tc>
          <w:tcPr>
            <w:tcW w:w="656" w:type="pct"/>
          </w:tcPr>
          <w:p w14:paraId="3B5CB0C5"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-0.474</w:t>
            </w:r>
          </w:p>
        </w:tc>
        <w:tc>
          <w:tcPr>
            <w:tcW w:w="738" w:type="pct"/>
          </w:tcPr>
          <w:p w14:paraId="6DF64DD5"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-1.65</w:t>
            </w:r>
          </w:p>
        </w:tc>
        <w:tc>
          <w:tcPr>
            <w:tcW w:w="655" w:type="pct"/>
          </w:tcPr>
          <w:p w14:paraId="1D14C8A3" w14:textId="77777777" w:rsidR="00BB2342" w:rsidRDefault="00000000">
            <w:pPr>
              <w:spacing w:before="0" w:after="0" w:line="480" w:lineRule="auto"/>
              <w:textAlignment w:val="center"/>
              <w:rPr>
                <w:rFonts w:ascii="Arial" w:eastAsia="SimSun" w:hAnsi="Arial" w:cs="Arial"/>
                <w:color w:val="000000"/>
                <w:sz w:val="20"/>
                <w:szCs w:val="20"/>
              </w:rPr>
            </w:pPr>
            <w:r>
              <w:rPr>
                <w:rFonts w:ascii="Arial" w:eastAsia="SimSun" w:hAnsi="Arial" w:cs="Arial"/>
                <w:color w:val="000000"/>
                <w:sz w:val="20"/>
                <w:szCs w:val="20"/>
              </w:rPr>
              <w:t>3.50E-09</w:t>
            </w:r>
          </w:p>
        </w:tc>
      </w:tr>
    </w:tbl>
    <w:p w14:paraId="5F967D62" w14:textId="77777777" w:rsidR="00BB2342" w:rsidRDefault="00BB2342">
      <w:pPr>
        <w:spacing w:line="480" w:lineRule="auto"/>
        <w:rPr>
          <w:rFonts w:ascii="Arial" w:hAnsi="Arial" w:cs="Arial"/>
          <w:b/>
          <w:bCs/>
          <w:sz w:val="20"/>
          <w:szCs w:val="20"/>
        </w:rPr>
      </w:pPr>
    </w:p>
    <w:p w14:paraId="2B5512A9" w14:textId="77777777" w:rsidR="00BB2342" w:rsidRDefault="00BB2342">
      <w:pPr>
        <w:spacing w:line="480" w:lineRule="auto"/>
        <w:rPr>
          <w:rFonts w:ascii="Arial" w:hAnsi="Arial" w:cs="Arial"/>
          <w:b/>
          <w:bCs/>
          <w:sz w:val="20"/>
          <w:szCs w:val="20"/>
        </w:rPr>
      </w:pPr>
    </w:p>
    <w:p w14:paraId="79B9B31C" w14:textId="77777777" w:rsidR="00BB2342" w:rsidRDefault="00000000">
      <w:pPr>
        <w:spacing w:before="0" w:after="0" w:line="480" w:lineRule="auto"/>
        <w:rPr>
          <w:rFonts w:ascii="Arial" w:eastAsiaTheme="minorEastAsia" w:hAnsi="Arial" w:cs="Arial"/>
          <w:kern w:val="2"/>
          <w:sz w:val="20"/>
          <w:szCs w:val="20"/>
          <w:lang w:eastAsia="zh-CN"/>
        </w:rPr>
      </w:pPr>
      <w:r>
        <w:rPr>
          <w:rFonts w:ascii="Arial" w:hAnsi="Arial" w:cs="Arial"/>
          <w:b/>
          <w:bCs/>
          <w:sz w:val="20"/>
          <w:szCs w:val="20"/>
        </w:rPr>
        <w:t>Table S</w:t>
      </w:r>
      <w:r>
        <w:rPr>
          <w:rFonts w:ascii="Arial" w:eastAsia="SimSun" w:hAnsi="Arial" w:cs="Arial"/>
          <w:b/>
          <w:bCs/>
          <w:sz w:val="20"/>
          <w:szCs w:val="20"/>
          <w:lang w:eastAsia="zh-CN"/>
        </w:rPr>
        <w:t xml:space="preserve">5 </w:t>
      </w:r>
      <w:r>
        <w:rPr>
          <w:rFonts w:ascii="Arial" w:hAnsi="Arial" w:cs="Arial"/>
          <w:sz w:val="20"/>
          <w:szCs w:val="20"/>
        </w:rPr>
        <w:t>GSVA of two CAD subtypes</w:t>
      </w:r>
    </w:p>
    <w:tbl>
      <w:tblPr>
        <w:tblpPr w:leftFromText="180" w:rightFromText="180" w:vertAnchor="text" w:horzAnchor="page" w:tblpX="1339" w:tblpY="308"/>
        <w:tblOverlap w:val="never"/>
        <w:tblW w:w="5000" w:type="pct"/>
        <w:tblBorders>
          <w:top w:val="single" w:sz="8" w:space="0" w:color="000000"/>
          <w:bottom w:val="single" w:sz="8" w:space="0" w:color="000000"/>
        </w:tblBorders>
        <w:tblLook w:val="04A0" w:firstRow="1" w:lastRow="0" w:firstColumn="1" w:lastColumn="0" w:noHBand="0" w:noVBand="1"/>
      </w:tblPr>
      <w:tblGrid>
        <w:gridCol w:w="5385"/>
        <w:gridCol w:w="1414"/>
        <w:gridCol w:w="1695"/>
        <w:gridCol w:w="1283"/>
      </w:tblGrid>
      <w:tr w:rsidR="00BB2342" w14:paraId="2CF697FA" w14:textId="77777777">
        <w:trPr>
          <w:trHeight w:val="415"/>
        </w:trPr>
        <w:tc>
          <w:tcPr>
            <w:tcW w:w="2754" w:type="pct"/>
            <w:tcBorders>
              <w:top w:val="single" w:sz="12" w:space="0" w:color="auto"/>
            </w:tcBorders>
          </w:tcPr>
          <w:p w14:paraId="64193194"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color w:val="000000"/>
                <w:sz w:val="20"/>
                <w:szCs w:val="20"/>
              </w:rPr>
              <w:t>Hallmark</w:t>
            </w:r>
          </w:p>
        </w:tc>
        <w:tc>
          <w:tcPr>
            <w:tcW w:w="723" w:type="pct"/>
            <w:tcBorders>
              <w:top w:val="single" w:sz="12" w:space="0" w:color="auto"/>
            </w:tcBorders>
          </w:tcPr>
          <w:p w14:paraId="358FF713"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color w:val="000000"/>
                <w:sz w:val="20"/>
                <w:szCs w:val="20"/>
              </w:rPr>
              <w:t>Gene</w:t>
            </w:r>
          </w:p>
        </w:tc>
        <w:tc>
          <w:tcPr>
            <w:tcW w:w="867" w:type="pct"/>
            <w:tcBorders>
              <w:top w:val="single" w:sz="12" w:space="0" w:color="auto"/>
            </w:tcBorders>
          </w:tcPr>
          <w:p w14:paraId="6F06547D"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color w:val="000000"/>
                <w:sz w:val="20"/>
                <w:szCs w:val="20"/>
              </w:rPr>
              <w:t>Correlation</w:t>
            </w:r>
          </w:p>
        </w:tc>
        <w:tc>
          <w:tcPr>
            <w:tcW w:w="656" w:type="pct"/>
            <w:tcBorders>
              <w:top w:val="single" w:sz="12" w:space="0" w:color="auto"/>
            </w:tcBorders>
          </w:tcPr>
          <w:p w14:paraId="60E42F47" w14:textId="77777777" w:rsidR="00BB2342" w:rsidRDefault="00000000">
            <w:pPr>
              <w:spacing w:before="0" w:after="0" w:line="480" w:lineRule="auto"/>
              <w:textAlignment w:val="center"/>
              <w:rPr>
                <w:rFonts w:ascii="Arial" w:eastAsia="SimSun" w:hAnsi="Arial" w:cs="Arial"/>
                <w:b/>
                <w:bCs/>
                <w:color w:val="000000" w:themeColor="text1"/>
                <w:sz w:val="20"/>
                <w:szCs w:val="20"/>
              </w:rPr>
            </w:pPr>
            <w:r>
              <w:rPr>
                <w:rFonts w:ascii="Arial" w:eastAsia="SimSun" w:hAnsi="Arial" w:cs="Arial"/>
                <w:b/>
                <w:bCs/>
                <w:i/>
                <w:iCs/>
                <w:sz w:val="20"/>
                <w:szCs w:val="20"/>
              </w:rPr>
              <w:t>P</w:t>
            </w:r>
            <w:r>
              <w:rPr>
                <w:rFonts w:ascii="Arial" w:eastAsia="SimSun" w:hAnsi="Arial" w:cs="Arial"/>
                <w:b/>
                <w:bCs/>
                <w:iCs/>
                <w:sz w:val="20"/>
                <w:szCs w:val="20"/>
              </w:rPr>
              <w:t>-</w:t>
            </w:r>
            <w:r>
              <w:rPr>
                <w:rFonts w:ascii="Arial" w:eastAsia="SimSun" w:hAnsi="Arial" w:cs="Arial"/>
                <w:b/>
                <w:bCs/>
                <w:sz w:val="20"/>
                <w:szCs w:val="20"/>
              </w:rPr>
              <w:t>value</w:t>
            </w:r>
          </w:p>
        </w:tc>
      </w:tr>
      <w:tr w:rsidR="00BB2342" w14:paraId="371E2F8E" w14:textId="77777777">
        <w:trPr>
          <w:trHeight w:val="341"/>
        </w:trPr>
        <w:tc>
          <w:tcPr>
            <w:tcW w:w="2754" w:type="pct"/>
            <w:tcBorders>
              <w:top w:val="single" w:sz="8" w:space="0" w:color="000000"/>
            </w:tcBorders>
          </w:tcPr>
          <w:p w14:paraId="0B311BDA"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 xml:space="preserve">hallmark </w:t>
            </w:r>
            <w:proofErr w:type="spellStart"/>
            <w:r>
              <w:rPr>
                <w:rFonts w:ascii="Arial" w:hAnsi="Arial" w:cs="Arial"/>
                <w:color w:val="000000"/>
                <w:sz w:val="20"/>
                <w:szCs w:val="20"/>
              </w:rPr>
              <w:t>tnfa</w:t>
            </w:r>
            <w:proofErr w:type="spellEnd"/>
            <w:r>
              <w:rPr>
                <w:rFonts w:ascii="Arial" w:hAnsi="Arial" w:cs="Arial"/>
                <w:color w:val="000000"/>
                <w:sz w:val="20"/>
                <w:szCs w:val="20"/>
              </w:rPr>
              <w:t xml:space="preserve"> signaling via </w:t>
            </w:r>
            <w:proofErr w:type="spellStart"/>
            <w:r>
              <w:rPr>
                <w:rFonts w:ascii="Arial" w:hAnsi="Arial" w:cs="Arial"/>
                <w:color w:val="000000"/>
                <w:sz w:val="20"/>
                <w:szCs w:val="20"/>
              </w:rPr>
              <w:t>nfkb</w:t>
            </w:r>
            <w:proofErr w:type="spellEnd"/>
          </w:p>
        </w:tc>
        <w:tc>
          <w:tcPr>
            <w:tcW w:w="723" w:type="pct"/>
            <w:tcBorders>
              <w:top w:val="single" w:sz="8" w:space="0" w:color="000000"/>
            </w:tcBorders>
          </w:tcPr>
          <w:p w14:paraId="76063F5A"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ACR</w:t>
            </w:r>
          </w:p>
        </w:tc>
        <w:tc>
          <w:tcPr>
            <w:tcW w:w="867" w:type="pct"/>
            <w:tcBorders>
              <w:top w:val="single" w:sz="8" w:space="0" w:color="000000"/>
            </w:tcBorders>
          </w:tcPr>
          <w:p w14:paraId="68B952A2"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-0.0233</w:t>
            </w:r>
          </w:p>
        </w:tc>
        <w:tc>
          <w:tcPr>
            <w:tcW w:w="656" w:type="pct"/>
            <w:tcBorders>
              <w:top w:val="single" w:sz="8" w:space="0" w:color="000000"/>
            </w:tcBorders>
          </w:tcPr>
          <w:p w14:paraId="28A4034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0.843</w:t>
            </w:r>
          </w:p>
        </w:tc>
      </w:tr>
      <w:tr w:rsidR="00BB2342" w14:paraId="7F0FF630" w14:textId="77777777">
        <w:trPr>
          <w:trHeight w:val="349"/>
        </w:trPr>
        <w:tc>
          <w:tcPr>
            <w:tcW w:w="2754" w:type="pct"/>
          </w:tcPr>
          <w:p w14:paraId="1C132AFD"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hallmark hypoxia</w:t>
            </w:r>
          </w:p>
        </w:tc>
        <w:tc>
          <w:tcPr>
            <w:tcW w:w="723" w:type="pct"/>
          </w:tcPr>
          <w:p w14:paraId="2664DB9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ACR</w:t>
            </w:r>
          </w:p>
        </w:tc>
        <w:tc>
          <w:tcPr>
            <w:tcW w:w="867" w:type="pct"/>
          </w:tcPr>
          <w:p w14:paraId="0648113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-0.0669</w:t>
            </w:r>
          </w:p>
        </w:tc>
        <w:tc>
          <w:tcPr>
            <w:tcW w:w="656" w:type="pct"/>
          </w:tcPr>
          <w:p w14:paraId="15C9F02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0.571</w:t>
            </w:r>
          </w:p>
        </w:tc>
      </w:tr>
      <w:tr w:rsidR="00BB2342" w14:paraId="7BE001FE" w14:textId="77777777">
        <w:trPr>
          <w:trHeight w:val="429"/>
        </w:trPr>
        <w:tc>
          <w:tcPr>
            <w:tcW w:w="2754" w:type="pct"/>
          </w:tcPr>
          <w:p w14:paraId="22649BB5"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hallmark cholesterol homeostasis</w:t>
            </w:r>
          </w:p>
        </w:tc>
        <w:tc>
          <w:tcPr>
            <w:tcW w:w="723" w:type="pct"/>
          </w:tcPr>
          <w:p w14:paraId="08B6236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ACR</w:t>
            </w:r>
          </w:p>
        </w:tc>
        <w:tc>
          <w:tcPr>
            <w:tcW w:w="867" w:type="pct"/>
          </w:tcPr>
          <w:p w14:paraId="4E7A010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-0.0837</w:t>
            </w:r>
          </w:p>
        </w:tc>
        <w:tc>
          <w:tcPr>
            <w:tcW w:w="656" w:type="pct"/>
          </w:tcPr>
          <w:p w14:paraId="39869A7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0.478</w:t>
            </w:r>
          </w:p>
        </w:tc>
      </w:tr>
      <w:tr w:rsidR="00BB2342" w14:paraId="2A1B8051" w14:textId="77777777">
        <w:trPr>
          <w:trHeight w:val="429"/>
        </w:trPr>
        <w:tc>
          <w:tcPr>
            <w:tcW w:w="2754" w:type="pct"/>
          </w:tcPr>
          <w:p w14:paraId="5BB973C5"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hallmark mitotic spindle</w:t>
            </w:r>
          </w:p>
        </w:tc>
        <w:tc>
          <w:tcPr>
            <w:tcW w:w="723" w:type="pct"/>
          </w:tcPr>
          <w:p w14:paraId="749B283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ACR</w:t>
            </w:r>
          </w:p>
        </w:tc>
        <w:tc>
          <w:tcPr>
            <w:tcW w:w="867" w:type="pct"/>
          </w:tcPr>
          <w:p w14:paraId="7F623259"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0.126</w:t>
            </w:r>
          </w:p>
        </w:tc>
        <w:tc>
          <w:tcPr>
            <w:tcW w:w="656" w:type="pct"/>
          </w:tcPr>
          <w:p w14:paraId="75326A0E"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0.283</w:t>
            </w:r>
          </w:p>
        </w:tc>
      </w:tr>
      <w:tr w:rsidR="00BB2342" w14:paraId="08A0BC6D" w14:textId="77777777">
        <w:trPr>
          <w:trHeight w:val="429"/>
        </w:trPr>
        <w:tc>
          <w:tcPr>
            <w:tcW w:w="2754" w:type="pct"/>
          </w:tcPr>
          <w:p w14:paraId="7C16662F"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 xml:space="preserve">hallmark </w:t>
            </w:r>
            <w:proofErr w:type="spellStart"/>
            <w:r>
              <w:rPr>
                <w:rFonts w:ascii="Arial" w:hAnsi="Arial" w:cs="Arial"/>
                <w:color w:val="000000"/>
                <w:sz w:val="20"/>
                <w:szCs w:val="20"/>
              </w:rPr>
              <w:t>wnt</w:t>
            </w:r>
            <w:proofErr w:type="spellEnd"/>
            <w:r>
              <w:rPr>
                <w:rFonts w:ascii="Arial" w:hAnsi="Arial" w:cs="Arial"/>
                <w:color w:val="000000"/>
                <w:sz w:val="20"/>
                <w:szCs w:val="20"/>
              </w:rPr>
              <w:t xml:space="preserve"> beta catenin signaling</w:t>
            </w:r>
          </w:p>
        </w:tc>
        <w:tc>
          <w:tcPr>
            <w:tcW w:w="723" w:type="pct"/>
          </w:tcPr>
          <w:p w14:paraId="025B133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ACR</w:t>
            </w:r>
          </w:p>
        </w:tc>
        <w:tc>
          <w:tcPr>
            <w:tcW w:w="867" w:type="pct"/>
          </w:tcPr>
          <w:p w14:paraId="7AFCB51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0.105</w:t>
            </w:r>
          </w:p>
        </w:tc>
        <w:tc>
          <w:tcPr>
            <w:tcW w:w="656" w:type="pct"/>
          </w:tcPr>
          <w:p w14:paraId="4BBC0F38"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0.370</w:t>
            </w:r>
          </w:p>
        </w:tc>
      </w:tr>
      <w:tr w:rsidR="00BB2342" w14:paraId="2521753A" w14:textId="77777777">
        <w:trPr>
          <w:trHeight w:val="429"/>
        </w:trPr>
        <w:tc>
          <w:tcPr>
            <w:tcW w:w="2754" w:type="pct"/>
          </w:tcPr>
          <w:p w14:paraId="1969565A"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 xml:space="preserve">hallmark </w:t>
            </w:r>
            <w:proofErr w:type="spellStart"/>
            <w:r>
              <w:rPr>
                <w:rFonts w:ascii="Arial" w:hAnsi="Arial" w:cs="Arial"/>
                <w:color w:val="000000"/>
                <w:sz w:val="20"/>
                <w:szCs w:val="20"/>
              </w:rPr>
              <w:t>tgf</w:t>
            </w:r>
            <w:proofErr w:type="spellEnd"/>
            <w:r>
              <w:rPr>
                <w:rFonts w:ascii="Arial" w:hAnsi="Arial" w:cs="Arial"/>
                <w:color w:val="000000"/>
                <w:sz w:val="20"/>
                <w:szCs w:val="20"/>
              </w:rPr>
              <w:t xml:space="preserve"> beta signaling</w:t>
            </w:r>
          </w:p>
        </w:tc>
        <w:tc>
          <w:tcPr>
            <w:tcW w:w="723" w:type="pct"/>
          </w:tcPr>
          <w:p w14:paraId="7922695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ACR</w:t>
            </w:r>
          </w:p>
        </w:tc>
        <w:tc>
          <w:tcPr>
            <w:tcW w:w="867" w:type="pct"/>
          </w:tcPr>
          <w:p w14:paraId="383167EF"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0.155</w:t>
            </w:r>
          </w:p>
        </w:tc>
        <w:tc>
          <w:tcPr>
            <w:tcW w:w="656" w:type="pct"/>
          </w:tcPr>
          <w:p w14:paraId="5A6D1091"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0.186</w:t>
            </w:r>
          </w:p>
        </w:tc>
      </w:tr>
      <w:tr w:rsidR="00BB2342" w14:paraId="29E33B59" w14:textId="77777777">
        <w:trPr>
          <w:trHeight w:val="429"/>
        </w:trPr>
        <w:tc>
          <w:tcPr>
            <w:tcW w:w="2754" w:type="pct"/>
          </w:tcPr>
          <w:p w14:paraId="0F9AF0CA"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hallmark il6 jak stat3 signaling</w:t>
            </w:r>
          </w:p>
        </w:tc>
        <w:tc>
          <w:tcPr>
            <w:tcW w:w="723" w:type="pct"/>
          </w:tcPr>
          <w:p w14:paraId="46142A22"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ACR</w:t>
            </w:r>
          </w:p>
        </w:tc>
        <w:tc>
          <w:tcPr>
            <w:tcW w:w="867" w:type="pct"/>
          </w:tcPr>
          <w:p w14:paraId="0EA12F66"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0.0286</w:t>
            </w:r>
          </w:p>
        </w:tc>
        <w:tc>
          <w:tcPr>
            <w:tcW w:w="656" w:type="pct"/>
          </w:tcPr>
          <w:p w14:paraId="58A415C0"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0.808</w:t>
            </w:r>
          </w:p>
        </w:tc>
      </w:tr>
      <w:tr w:rsidR="00BB2342" w14:paraId="79DF1916" w14:textId="77777777">
        <w:trPr>
          <w:trHeight w:val="429"/>
        </w:trPr>
        <w:tc>
          <w:tcPr>
            <w:tcW w:w="2754" w:type="pct"/>
          </w:tcPr>
          <w:p w14:paraId="0D687B95"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 xml:space="preserve">hallmark </w:t>
            </w:r>
            <w:proofErr w:type="spellStart"/>
            <w:r>
              <w:rPr>
                <w:rFonts w:ascii="Arial" w:hAnsi="Arial" w:cs="Arial"/>
                <w:color w:val="000000"/>
                <w:sz w:val="20"/>
                <w:szCs w:val="20"/>
              </w:rPr>
              <w:t>dna</w:t>
            </w:r>
            <w:proofErr w:type="spellEnd"/>
            <w:r>
              <w:rPr>
                <w:rFonts w:ascii="Arial" w:hAnsi="Arial" w:cs="Arial"/>
                <w:color w:val="000000"/>
                <w:sz w:val="20"/>
                <w:szCs w:val="20"/>
              </w:rPr>
              <w:t xml:space="preserve"> repair</w:t>
            </w:r>
          </w:p>
        </w:tc>
        <w:tc>
          <w:tcPr>
            <w:tcW w:w="723" w:type="pct"/>
          </w:tcPr>
          <w:p w14:paraId="7C59CA1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ACR</w:t>
            </w:r>
          </w:p>
        </w:tc>
        <w:tc>
          <w:tcPr>
            <w:tcW w:w="867" w:type="pct"/>
          </w:tcPr>
          <w:p w14:paraId="1BAA885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-0.298</w:t>
            </w:r>
          </w:p>
        </w:tc>
        <w:tc>
          <w:tcPr>
            <w:tcW w:w="656" w:type="pct"/>
          </w:tcPr>
          <w:p w14:paraId="783DE74B"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0.00968</w:t>
            </w:r>
          </w:p>
        </w:tc>
      </w:tr>
      <w:tr w:rsidR="00BB2342" w14:paraId="48C3B07C" w14:textId="77777777">
        <w:trPr>
          <w:trHeight w:val="429"/>
        </w:trPr>
        <w:tc>
          <w:tcPr>
            <w:tcW w:w="2754" w:type="pct"/>
          </w:tcPr>
          <w:p w14:paraId="7ED2501B" w14:textId="77777777" w:rsidR="00BB2342" w:rsidRDefault="00000000">
            <w:pPr>
              <w:spacing w:before="0" w:after="0" w:line="480" w:lineRule="auto"/>
              <w:textAlignment w:val="center"/>
              <w:rPr>
                <w:rFonts w:ascii="Arial" w:hAnsi="Arial" w:cs="Arial"/>
                <w:color w:val="000000" w:themeColor="text1"/>
                <w:sz w:val="20"/>
                <w:szCs w:val="20"/>
              </w:rPr>
            </w:pPr>
            <w:r>
              <w:rPr>
                <w:rFonts w:ascii="Arial" w:hAnsi="Arial" w:cs="Arial"/>
                <w:color w:val="000000"/>
                <w:sz w:val="20"/>
                <w:szCs w:val="20"/>
              </w:rPr>
              <w:t>hallmark g2m checkpoint</w:t>
            </w:r>
          </w:p>
        </w:tc>
        <w:tc>
          <w:tcPr>
            <w:tcW w:w="723" w:type="pct"/>
          </w:tcPr>
          <w:p w14:paraId="65582A65"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ACR</w:t>
            </w:r>
          </w:p>
        </w:tc>
        <w:tc>
          <w:tcPr>
            <w:tcW w:w="867" w:type="pct"/>
          </w:tcPr>
          <w:p w14:paraId="025F5803"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0.0541</w:t>
            </w:r>
          </w:p>
        </w:tc>
        <w:tc>
          <w:tcPr>
            <w:tcW w:w="656" w:type="pct"/>
          </w:tcPr>
          <w:p w14:paraId="1EC00D1C" w14:textId="77777777" w:rsidR="00BB2342" w:rsidRDefault="00000000">
            <w:pPr>
              <w:spacing w:before="0" w:after="0" w:line="480" w:lineRule="auto"/>
              <w:textAlignment w:val="center"/>
              <w:rPr>
                <w:rFonts w:ascii="Arial" w:eastAsiaTheme="minorEastAsia" w:hAnsi="Arial" w:cs="Arial"/>
                <w:color w:val="000000" w:themeColor="text1"/>
                <w:kern w:val="2"/>
                <w:sz w:val="20"/>
                <w:szCs w:val="20"/>
                <w:lang w:eastAsia="zh-CN"/>
              </w:rPr>
            </w:pPr>
            <w:r>
              <w:rPr>
                <w:rFonts w:ascii="Arial" w:hAnsi="Arial" w:cs="Arial"/>
                <w:color w:val="000000"/>
                <w:sz w:val="20"/>
                <w:szCs w:val="20"/>
              </w:rPr>
              <w:t>0.646</w:t>
            </w:r>
          </w:p>
        </w:tc>
      </w:tr>
      <w:tr w:rsidR="00BB2342" w14:paraId="1FC036B4" w14:textId="77777777">
        <w:trPr>
          <w:trHeight w:val="429"/>
        </w:trPr>
        <w:tc>
          <w:tcPr>
            <w:tcW w:w="2754" w:type="pct"/>
          </w:tcPr>
          <w:p w14:paraId="16565034" w14:textId="77777777" w:rsidR="00BB2342" w:rsidRDefault="00000000">
            <w:pPr>
              <w:spacing w:before="0" w:after="0" w:line="480" w:lineRule="auto"/>
              <w:textAlignment w:val="center"/>
              <w:rPr>
                <w:rFonts w:ascii="Arial" w:hAnsi="Arial" w:cs="Arial"/>
                <w:sz w:val="20"/>
                <w:szCs w:val="20"/>
              </w:rPr>
            </w:pPr>
            <w:r>
              <w:rPr>
                <w:rFonts w:ascii="Arial" w:hAnsi="Arial" w:cs="Arial"/>
                <w:color w:val="000000"/>
                <w:sz w:val="20"/>
                <w:szCs w:val="20"/>
              </w:rPr>
              <w:t>hallmark apoptosis</w:t>
            </w:r>
          </w:p>
        </w:tc>
        <w:tc>
          <w:tcPr>
            <w:tcW w:w="723" w:type="pct"/>
          </w:tcPr>
          <w:p w14:paraId="084F957D" w14:textId="77777777" w:rsidR="00BB2342" w:rsidRDefault="00000000">
            <w:pPr>
              <w:spacing w:before="0" w:after="0" w:line="480" w:lineRule="auto"/>
              <w:textAlignment w:val="center"/>
              <w:rPr>
                <w:rFonts w:ascii="Arial" w:eastAsiaTheme="minorEastAsia" w:hAnsi="Arial" w:cs="Arial"/>
                <w:kern w:val="2"/>
                <w:sz w:val="20"/>
                <w:szCs w:val="20"/>
                <w:lang w:eastAsia="zh-CN"/>
              </w:rPr>
            </w:pPr>
            <w:r>
              <w:rPr>
                <w:rFonts w:ascii="Arial" w:hAnsi="Arial" w:cs="Arial"/>
                <w:color w:val="000000"/>
                <w:sz w:val="20"/>
                <w:szCs w:val="20"/>
              </w:rPr>
              <w:t>ACR</w:t>
            </w:r>
          </w:p>
        </w:tc>
        <w:tc>
          <w:tcPr>
            <w:tcW w:w="867" w:type="pct"/>
          </w:tcPr>
          <w:p w14:paraId="70269188" w14:textId="77777777" w:rsidR="00BB2342" w:rsidRDefault="00000000">
            <w:pPr>
              <w:spacing w:before="0" w:after="0" w:line="480" w:lineRule="auto"/>
              <w:textAlignment w:val="center"/>
              <w:rPr>
                <w:rFonts w:ascii="Arial" w:eastAsiaTheme="minorEastAsia" w:hAnsi="Arial" w:cs="Arial"/>
                <w:kern w:val="2"/>
                <w:sz w:val="20"/>
                <w:szCs w:val="20"/>
                <w:lang w:eastAsia="zh-CN"/>
              </w:rPr>
            </w:pPr>
            <w:r>
              <w:rPr>
                <w:rFonts w:ascii="Arial" w:hAnsi="Arial" w:cs="Arial"/>
                <w:color w:val="000000"/>
                <w:sz w:val="20"/>
                <w:szCs w:val="20"/>
              </w:rPr>
              <w:t>-0.0990</w:t>
            </w:r>
          </w:p>
        </w:tc>
        <w:tc>
          <w:tcPr>
            <w:tcW w:w="656" w:type="pct"/>
          </w:tcPr>
          <w:p w14:paraId="12AA064B" w14:textId="77777777" w:rsidR="00BB2342" w:rsidRDefault="00000000">
            <w:pPr>
              <w:spacing w:before="0" w:after="0" w:line="480" w:lineRule="auto"/>
              <w:textAlignment w:val="center"/>
              <w:rPr>
                <w:rFonts w:ascii="Arial" w:eastAsiaTheme="minorEastAsia" w:hAnsi="Arial" w:cs="Arial"/>
                <w:kern w:val="2"/>
                <w:sz w:val="20"/>
                <w:szCs w:val="20"/>
                <w:lang w:eastAsia="zh-CN"/>
              </w:rPr>
            </w:pPr>
            <w:r>
              <w:rPr>
                <w:rFonts w:ascii="Arial" w:hAnsi="Arial" w:cs="Arial"/>
                <w:color w:val="000000"/>
                <w:sz w:val="20"/>
                <w:szCs w:val="20"/>
              </w:rPr>
              <w:t>0.401</w:t>
            </w:r>
          </w:p>
        </w:tc>
      </w:tr>
      <w:tr w:rsidR="00BB2342" w14:paraId="3359E456" w14:textId="77777777">
        <w:trPr>
          <w:trHeight w:val="429"/>
        </w:trPr>
        <w:tc>
          <w:tcPr>
            <w:tcW w:w="2754" w:type="pct"/>
          </w:tcPr>
          <w:p w14:paraId="2BFF477F"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t>hallmark notch signaling</w:t>
            </w:r>
          </w:p>
        </w:tc>
        <w:tc>
          <w:tcPr>
            <w:tcW w:w="723" w:type="pct"/>
          </w:tcPr>
          <w:p w14:paraId="7B669E23"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2ACD9E1A"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0.202</w:t>
            </w:r>
          </w:p>
        </w:tc>
        <w:tc>
          <w:tcPr>
            <w:tcW w:w="656" w:type="pct"/>
          </w:tcPr>
          <w:p w14:paraId="2D3708D0"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0.0839</w:t>
            </w:r>
          </w:p>
        </w:tc>
      </w:tr>
      <w:tr w:rsidR="00BB2342" w14:paraId="3CA0C1AE" w14:textId="77777777">
        <w:trPr>
          <w:trHeight w:val="429"/>
        </w:trPr>
        <w:tc>
          <w:tcPr>
            <w:tcW w:w="2754" w:type="pct"/>
          </w:tcPr>
          <w:p w14:paraId="1A9989BE"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t>hallmark adipogenesis</w:t>
            </w:r>
          </w:p>
        </w:tc>
        <w:tc>
          <w:tcPr>
            <w:tcW w:w="723" w:type="pct"/>
          </w:tcPr>
          <w:p w14:paraId="0F45F0FA"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093A6E15"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-0.216</w:t>
            </w:r>
          </w:p>
        </w:tc>
        <w:tc>
          <w:tcPr>
            <w:tcW w:w="656" w:type="pct"/>
          </w:tcPr>
          <w:p w14:paraId="219DC524"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0.0641</w:t>
            </w:r>
          </w:p>
        </w:tc>
      </w:tr>
      <w:tr w:rsidR="00BB2342" w14:paraId="4607C73B" w14:textId="77777777">
        <w:trPr>
          <w:trHeight w:val="429"/>
        </w:trPr>
        <w:tc>
          <w:tcPr>
            <w:tcW w:w="2754" w:type="pct"/>
          </w:tcPr>
          <w:p w14:paraId="7E33149D"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t>hallmark estrogen response early</w:t>
            </w:r>
          </w:p>
        </w:tc>
        <w:tc>
          <w:tcPr>
            <w:tcW w:w="723" w:type="pct"/>
          </w:tcPr>
          <w:p w14:paraId="08AAB42A"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17CE5CBE"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0.256</w:t>
            </w:r>
          </w:p>
        </w:tc>
        <w:tc>
          <w:tcPr>
            <w:tcW w:w="656" w:type="pct"/>
          </w:tcPr>
          <w:p w14:paraId="62C8A250"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0.0273</w:t>
            </w:r>
          </w:p>
        </w:tc>
      </w:tr>
      <w:tr w:rsidR="00BB2342" w14:paraId="037040FC" w14:textId="77777777">
        <w:trPr>
          <w:trHeight w:val="429"/>
        </w:trPr>
        <w:tc>
          <w:tcPr>
            <w:tcW w:w="2754" w:type="pct"/>
          </w:tcPr>
          <w:p w14:paraId="3372F90D"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t>hallmark estrogen response late</w:t>
            </w:r>
          </w:p>
        </w:tc>
        <w:tc>
          <w:tcPr>
            <w:tcW w:w="723" w:type="pct"/>
          </w:tcPr>
          <w:p w14:paraId="5CC940A9"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2FC2848A"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0.181</w:t>
            </w:r>
          </w:p>
        </w:tc>
        <w:tc>
          <w:tcPr>
            <w:tcW w:w="656" w:type="pct"/>
          </w:tcPr>
          <w:p w14:paraId="5463603F"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0.120</w:t>
            </w:r>
          </w:p>
        </w:tc>
      </w:tr>
      <w:tr w:rsidR="00BB2342" w14:paraId="2EA3BA6A" w14:textId="77777777">
        <w:trPr>
          <w:trHeight w:val="429"/>
        </w:trPr>
        <w:tc>
          <w:tcPr>
            <w:tcW w:w="2754" w:type="pct"/>
          </w:tcPr>
          <w:p w14:paraId="0479ACD6"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lastRenderedPageBreak/>
              <w:t>hallmark androgen response</w:t>
            </w:r>
          </w:p>
        </w:tc>
        <w:tc>
          <w:tcPr>
            <w:tcW w:w="723" w:type="pct"/>
          </w:tcPr>
          <w:p w14:paraId="4AE84471"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4B966D74"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0.106</w:t>
            </w:r>
          </w:p>
        </w:tc>
        <w:tc>
          <w:tcPr>
            <w:tcW w:w="656" w:type="pct"/>
          </w:tcPr>
          <w:p w14:paraId="64F1E324"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0.365</w:t>
            </w:r>
          </w:p>
        </w:tc>
      </w:tr>
      <w:tr w:rsidR="00BB2342" w14:paraId="0D35A1F4" w14:textId="77777777">
        <w:trPr>
          <w:trHeight w:val="429"/>
        </w:trPr>
        <w:tc>
          <w:tcPr>
            <w:tcW w:w="2754" w:type="pct"/>
          </w:tcPr>
          <w:p w14:paraId="5A334248"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t>hallmark myogenesis</w:t>
            </w:r>
          </w:p>
        </w:tc>
        <w:tc>
          <w:tcPr>
            <w:tcW w:w="723" w:type="pct"/>
          </w:tcPr>
          <w:p w14:paraId="7B82B2D2"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60132D5B"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0.215</w:t>
            </w:r>
          </w:p>
        </w:tc>
        <w:tc>
          <w:tcPr>
            <w:tcW w:w="656" w:type="pct"/>
          </w:tcPr>
          <w:p w14:paraId="5ABFDAB1"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0.0651</w:t>
            </w:r>
          </w:p>
        </w:tc>
      </w:tr>
      <w:tr w:rsidR="00BB2342" w14:paraId="1407D598" w14:textId="77777777">
        <w:trPr>
          <w:trHeight w:val="429"/>
        </w:trPr>
        <w:tc>
          <w:tcPr>
            <w:tcW w:w="2754" w:type="pct"/>
          </w:tcPr>
          <w:p w14:paraId="5D92C576"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t>hallmark protein secretion</w:t>
            </w:r>
          </w:p>
        </w:tc>
        <w:tc>
          <w:tcPr>
            <w:tcW w:w="723" w:type="pct"/>
          </w:tcPr>
          <w:p w14:paraId="62AE2611"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4DF75116"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-0.0684</w:t>
            </w:r>
          </w:p>
        </w:tc>
        <w:tc>
          <w:tcPr>
            <w:tcW w:w="656" w:type="pct"/>
          </w:tcPr>
          <w:p w14:paraId="23EE9CF3"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0.562</w:t>
            </w:r>
          </w:p>
        </w:tc>
      </w:tr>
      <w:tr w:rsidR="00BB2342" w14:paraId="7206C3E5" w14:textId="77777777">
        <w:trPr>
          <w:trHeight w:val="429"/>
        </w:trPr>
        <w:tc>
          <w:tcPr>
            <w:tcW w:w="2754" w:type="pct"/>
          </w:tcPr>
          <w:p w14:paraId="0B99EE5B"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t>hallmark interferon alpha response</w:t>
            </w:r>
          </w:p>
        </w:tc>
        <w:tc>
          <w:tcPr>
            <w:tcW w:w="723" w:type="pct"/>
          </w:tcPr>
          <w:p w14:paraId="2B59CD23"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2F1F7468"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-0.276</w:t>
            </w:r>
          </w:p>
        </w:tc>
        <w:tc>
          <w:tcPr>
            <w:tcW w:w="656" w:type="pct"/>
          </w:tcPr>
          <w:p w14:paraId="64C19890"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0.0172</w:t>
            </w:r>
          </w:p>
        </w:tc>
      </w:tr>
      <w:tr w:rsidR="00BB2342" w14:paraId="6EEC942C" w14:textId="77777777">
        <w:trPr>
          <w:trHeight w:val="429"/>
        </w:trPr>
        <w:tc>
          <w:tcPr>
            <w:tcW w:w="2754" w:type="pct"/>
          </w:tcPr>
          <w:p w14:paraId="08962480"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t>hallmark interferon gamma response</w:t>
            </w:r>
          </w:p>
        </w:tc>
        <w:tc>
          <w:tcPr>
            <w:tcW w:w="723" w:type="pct"/>
          </w:tcPr>
          <w:p w14:paraId="0303032B"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259D32BC"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-0.275</w:t>
            </w:r>
          </w:p>
        </w:tc>
        <w:tc>
          <w:tcPr>
            <w:tcW w:w="656" w:type="pct"/>
          </w:tcPr>
          <w:p w14:paraId="1AB00CED"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0.0176</w:t>
            </w:r>
          </w:p>
        </w:tc>
      </w:tr>
      <w:tr w:rsidR="00BB2342" w14:paraId="357556C1" w14:textId="77777777">
        <w:trPr>
          <w:trHeight w:val="429"/>
        </w:trPr>
        <w:tc>
          <w:tcPr>
            <w:tcW w:w="2754" w:type="pct"/>
          </w:tcPr>
          <w:p w14:paraId="04FD3F0B" w14:textId="77777777" w:rsidR="00BB2342" w:rsidRDefault="00000000">
            <w:pPr>
              <w:spacing w:before="0" w:after="0" w:line="480" w:lineRule="auto"/>
              <w:textAlignment w:val="center"/>
              <w:rPr>
                <w:rFonts w:ascii="Arial" w:hAnsi="Arial" w:cs="Arial"/>
                <w:color w:val="000000"/>
                <w:sz w:val="20"/>
                <w:szCs w:val="20"/>
              </w:rPr>
            </w:pPr>
            <w:r>
              <w:rPr>
                <w:rFonts w:ascii="Arial" w:hAnsi="Arial" w:cs="Arial"/>
                <w:color w:val="000000"/>
                <w:sz w:val="20"/>
                <w:szCs w:val="20"/>
              </w:rPr>
              <w:t>hallmark apical junction</w:t>
            </w:r>
          </w:p>
        </w:tc>
        <w:tc>
          <w:tcPr>
            <w:tcW w:w="723" w:type="pct"/>
          </w:tcPr>
          <w:p w14:paraId="02684192"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ACR</w:t>
            </w:r>
          </w:p>
        </w:tc>
        <w:tc>
          <w:tcPr>
            <w:tcW w:w="867" w:type="pct"/>
          </w:tcPr>
          <w:p w14:paraId="74A836D5"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0.165</w:t>
            </w:r>
          </w:p>
        </w:tc>
        <w:tc>
          <w:tcPr>
            <w:tcW w:w="656" w:type="pct"/>
          </w:tcPr>
          <w:p w14:paraId="744C7D71" w14:textId="77777777" w:rsidR="00BB2342" w:rsidRDefault="00000000">
            <w:pPr>
              <w:spacing w:before="0" w:after="0" w:line="480" w:lineRule="auto"/>
              <w:textAlignment w:val="center"/>
              <w:rPr>
                <w:rFonts w:ascii="Arial" w:eastAsiaTheme="minorEastAsia" w:hAnsi="Arial" w:cs="Arial"/>
                <w:color w:val="000000"/>
                <w:kern w:val="2"/>
                <w:sz w:val="20"/>
                <w:szCs w:val="20"/>
                <w:lang w:eastAsia="zh-CN"/>
              </w:rPr>
            </w:pPr>
            <w:r>
              <w:rPr>
                <w:rFonts w:ascii="Arial" w:hAnsi="Arial" w:cs="Arial"/>
                <w:color w:val="000000"/>
                <w:sz w:val="20"/>
                <w:szCs w:val="20"/>
              </w:rPr>
              <w:t>0.158</w:t>
            </w:r>
          </w:p>
        </w:tc>
      </w:tr>
    </w:tbl>
    <w:p w14:paraId="718E09F2" w14:textId="77777777" w:rsidR="00BB2342" w:rsidRDefault="00BB2342">
      <w:pPr>
        <w:spacing w:line="480" w:lineRule="auto"/>
        <w:rPr>
          <w:rFonts w:ascii="Arial" w:eastAsia="SimSun" w:hAnsi="Arial" w:cs="Arial"/>
          <w:sz w:val="20"/>
          <w:szCs w:val="20"/>
          <w:lang w:eastAsia="zh-CN"/>
        </w:rPr>
      </w:pPr>
    </w:p>
    <w:p w14:paraId="0B029300" w14:textId="77777777" w:rsidR="00BB2342" w:rsidRDefault="00BB2342">
      <w:pPr>
        <w:spacing w:line="480" w:lineRule="auto"/>
        <w:rPr>
          <w:rFonts w:ascii="Arial" w:eastAsia="SimSun" w:hAnsi="Arial" w:cs="Arial"/>
          <w:sz w:val="20"/>
          <w:szCs w:val="20"/>
          <w:lang w:eastAsia="zh-CN"/>
        </w:rPr>
        <w:sectPr w:rsidR="00BB2342">
          <w:headerReference w:type="even" r:id="rId13"/>
          <w:footerReference w:type="even" r:id="rId14"/>
          <w:footerReference w:type="default" r:id="rId15"/>
          <w:headerReference w:type="first" r:id="rId16"/>
          <w:footerReference w:type="first" r:id="rId17"/>
          <w:pgSz w:w="12240" w:h="15840"/>
          <w:pgMar w:top="1138" w:right="1181" w:bottom="1138" w:left="1282" w:header="720" w:footer="720" w:gutter="0"/>
          <w:cols w:space="720"/>
          <w:titlePg/>
          <w:docGrid w:linePitch="360"/>
        </w:sectPr>
      </w:pPr>
    </w:p>
    <w:p w14:paraId="7CCE2C3C" w14:textId="77777777" w:rsidR="00BB2342" w:rsidRDefault="00BB2342">
      <w:pPr>
        <w:spacing w:line="480" w:lineRule="auto"/>
        <w:rPr>
          <w:rFonts w:ascii="Arial" w:eastAsia="SimSun" w:hAnsi="Arial" w:cs="Arial"/>
          <w:sz w:val="20"/>
          <w:szCs w:val="20"/>
          <w:lang w:eastAsia="zh-CN"/>
        </w:rPr>
      </w:pPr>
    </w:p>
    <w:p w14:paraId="0C83E457" w14:textId="77777777" w:rsidR="00BB2342" w:rsidRDefault="00000000">
      <w:pPr>
        <w:pStyle w:val="Heading1"/>
        <w:numPr>
          <w:ilvl w:val="0"/>
          <w:numId w:val="0"/>
        </w:numPr>
        <w:spacing w:line="480" w:lineRule="auto"/>
        <w:rPr>
          <w:rFonts w:ascii="Arial" w:hAnsi="Arial" w:cs="Arial"/>
          <w:sz w:val="20"/>
          <w:szCs w:val="20"/>
        </w:rPr>
      </w:pPr>
      <w:r>
        <w:rPr>
          <w:rFonts w:ascii="Arial" w:hAnsi="Arial" w:cs="Arial"/>
          <w:sz w:val="20"/>
          <w:szCs w:val="20"/>
        </w:rPr>
        <w:t>Supplementary Figures</w:t>
      </w:r>
    </w:p>
    <w:p w14:paraId="3ADB8D30" w14:textId="77777777" w:rsidR="00BB2342" w:rsidRDefault="00000000">
      <w:pPr>
        <w:keepNext/>
        <w:spacing w:line="480" w:lineRule="auto"/>
        <w:jc w:val="center"/>
        <w:rPr>
          <w:rFonts w:ascii="Arial" w:hAnsi="Arial" w:cs="Arial"/>
          <w:sz w:val="20"/>
          <w:szCs w:val="20"/>
        </w:rPr>
      </w:pPr>
      <w:r>
        <w:rPr>
          <w:rFonts w:ascii="Arial" w:hAnsi="Arial" w:cs="Arial"/>
          <w:noProof/>
          <w:sz w:val="20"/>
          <w:szCs w:val="20"/>
        </w:rPr>
        <w:drawing>
          <wp:inline distT="0" distB="0" distL="0" distR="0" wp14:anchorId="2E0A11E3" wp14:editId="535D0D07">
            <wp:extent cx="6208395" cy="3957320"/>
            <wp:effectExtent l="0" t="0" r="190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tretch>
                      <a:fillRect/>
                    </a:stretch>
                  </pic:blipFill>
                  <pic:spPr>
                    <a:xfrm>
                      <a:off x="0" y="0"/>
                      <a:ext cx="6208395" cy="3957320"/>
                    </a:xfrm>
                    <a:prstGeom prst="rect">
                      <a:avLst/>
                    </a:prstGeom>
                  </pic:spPr>
                </pic:pic>
              </a:graphicData>
            </a:graphic>
          </wp:inline>
        </w:drawing>
      </w:r>
    </w:p>
    <w:p w14:paraId="13C42B07" w14:textId="77777777" w:rsidR="00BB2342" w:rsidRDefault="00000000">
      <w:pPr>
        <w:keepNext/>
        <w:spacing w:line="480" w:lineRule="auto"/>
        <w:rPr>
          <w:rFonts w:ascii="Arial" w:hAnsi="Arial" w:cs="Arial"/>
          <w:b/>
          <w:sz w:val="20"/>
          <w:szCs w:val="20"/>
        </w:rPr>
      </w:pPr>
      <w:r>
        <w:rPr>
          <w:rFonts w:ascii="Arial" w:hAnsi="Arial" w:cs="Arial"/>
          <w:b/>
          <w:sz w:val="20"/>
          <w:szCs w:val="20"/>
        </w:rPr>
        <w:t>Figure S</w:t>
      </w:r>
      <w:r>
        <w:rPr>
          <w:rFonts w:ascii="Arial" w:hAnsi="Arial" w:cs="Arial"/>
          <w:b/>
          <w:sz w:val="20"/>
          <w:szCs w:val="20"/>
        </w:rPr>
        <w:fldChar w:fldCharType="begin"/>
      </w:r>
      <w:r>
        <w:rPr>
          <w:rFonts w:ascii="Arial" w:hAnsi="Arial" w:cs="Arial"/>
          <w:b/>
          <w:sz w:val="20"/>
          <w:szCs w:val="20"/>
        </w:rPr>
        <w:instrText xml:space="preserve"> SEQ Figure \* ARABIC </w:instrText>
      </w:r>
      <w:r>
        <w:rPr>
          <w:rFonts w:ascii="Arial" w:hAnsi="Arial" w:cs="Arial"/>
          <w:b/>
          <w:sz w:val="20"/>
          <w:szCs w:val="20"/>
        </w:rPr>
        <w:fldChar w:fldCharType="separate"/>
      </w:r>
      <w:r>
        <w:rPr>
          <w:rFonts w:ascii="Arial" w:hAnsi="Arial" w:cs="Arial"/>
          <w:b/>
          <w:sz w:val="20"/>
          <w:szCs w:val="20"/>
        </w:rPr>
        <w:t>1</w:t>
      </w:r>
      <w:r>
        <w:rPr>
          <w:rFonts w:ascii="Arial" w:hAnsi="Arial" w:cs="Arial"/>
          <w:b/>
          <w:sz w:val="20"/>
          <w:szCs w:val="20"/>
        </w:rPr>
        <w:fldChar w:fldCharType="end"/>
      </w:r>
      <w:r>
        <w:rPr>
          <w:rFonts w:ascii="Arial" w:hAnsi="Arial" w:cs="Arial"/>
          <w:sz w:val="20"/>
          <w:szCs w:val="20"/>
        </w:rPr>
        <w:t xml:space="preserve"> ROC curves of feature genes for diagnosis in the validation set GSE120521. ROC curve of (A) S100A7, (B) PIBF1, (C) NOX4, (D) EPHA2, (E) ELAVL2, (F) CCL16, (G) AKR1C3, (H) ACR, (I) SMPX diagnosed in the validation set GSE120521. ROC,</w:t>
      </w:r>
      <w:r>
        <w:rPr>
          <w:rFonts w:ascii="Arial" w:hAnsi="Arial" w:cs="Arial"/>
          <w:sz w:val="20"/>
          <w:szCs w:val="20"/>
          <w:lang w:bidi="en-US"/>
        </w:rPr>
        <w:t xml:space="preserve"> receiver operating characteristic.</w:t>
      </w:r>
    </w:p>
    <w:p w14:paraId="67B3750C" w14:textId="77777777" w:rsidR="00BB2342" w:rsidRDefault="00BB2342">
      <w:pPr>
        <w:spacing w:before="240" w:line="480" w:lineRule="auto"/>
        <w:rPr>
          <w:rFonts w:ascii="Arial" w:hAnsi="Arial" w:cs="Arial"/>
          <w:sz w:val="20"/>
          <w:szCs w:val="20"/>
        </w:rPr>
      </w:pPr>
    </w:p>
    <w:p w14:paraId="6A9E2E77" w14:textId="77777777" w:rsidR="00BB2342" w:rsidRDefault="00BB2342">
      <w:pPr>
        <w:keepNext/>
        <w:spacing w:line="480" w:lineRule="auto"/>
        <w:rPr>
          <w:rFonts w:ascii="Arial" w:hAnsi="Arial" w:cs="Arial"/>
          <w:sz w:val="20"/>
          <w:szCs w:val="20"/>
        </w:rPr>
        <w:sectPr w:rsidR="00BB2342">
          <w:pgSz w:w="12240" w:h="15840"/>
          <w:pgMar w:top="1138" w:right="1181" w:bottom="1138" w:left="1282" w:header="720" w:footer="720" w:gutter="0"/>
          <w:cols w:space="720"/>
          <w:titlePg/>
          <w:docGrid w:linePitch="360"/>
        </w:sectPr>
      </w:pPr>
    </w:p>
    <w:p w14:paraId="516974A7" w14:textId="77777777" w:rsidR="00BB2342" w:rsidRDefault="00000000">
      <w:pPr>
        <w:keepNext/>
        <w:spacing w:line="480" w:lineRule="auto"/>
        <w:rPr>
          <w:rFonts w:ascii="Arial" w:hAnsi="Arial" w:cs="Arial"/>
          <w:sz w:val="20"/>
          <w:szCs w:val="20"/>
        </w:rPr>
      </w:pPr>
      <w:r>
        <w:rPr>
          <w:rStyle w:val="CommentReference"/>
          <w:noProof/>
        </w:rPr>
        <w:lastRenderedPageBreak/>
        <w:drawing>
          <wp:inline distT="0" distB="0" distL="114300" distR="114300" wp14:anchorId="33C99E09" wp14:editId="55B25859">
            <wp:extent cx="2269490" cy="846177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269490" cy="8461776"/>
                    </a:xfrm>
                    <a:prstGeom prst="rect">
                      <a:avLst/>
                    </a:prstGeom>
                  </pic:spPr>
                </pic:pic>
              </a:graphicData>
            </a:graphic>
          </wp:inline>
        </w:drawing>
      </w:r>
    </w:p>
    <w:p w14:paraId="18096F21" w14:textId="77777777" w:rsidR="00BB2342" w:rsidRDefault="00000000">
      <w:pPr>
        <w:keepNext/>
        <w:spacing w:line="480" w:lineRule="auto"/>
        <w:rPr>
          <w:rFonts w:ascii="Arial" w:hAnsi="Arial" w:cs="Arial"/>
          <w:b/>
          <w:sz w:val="20"/>
          <w:szCs w:val="20"/>
        </w:rPr>
      </w:pPr>
      <w:r>
        <w:rPr>
          <w:rFonts w:ascii="Arial" w:hAnsi="Arial" w:cs="Arial"/>
          <w:b/>
          <w:sz w:val="20"/>
          <w:szCs w:val="20"/>
        </w:rPr>
        <w:lastRenderedPageBreak/>
        <w:t>Figure S2</w:t>
      </w:r>
      <w:r>
        <w:rPr>
          <w:rFonts w:ascii="Arial" w:hAnsi="Arial" w:cs="Arial"/>
          <w:sz w:val="20"/>
          <w:szCs w:val="20"/>
        </w:rPr>
        <w:t xml:space="preserve"> Expression of other signature genes in various parts of the human body.</w:t>
      </w:r>
      <w:r>
        <w:rPr>
          <w:rFonts w:ascii="Arial" w:eastAsia="SimSun" w:hAnsi="Arial" w:cs="Arial"/>
          <w:sz w:val="20"/>
          <w:szCs w:val="20"/>
          <w:lang w:eastAsia="zh-CN"/>
        </w:rPr>
        <w:t xml:space="preserve"> </w:t>
      </w:r>
      <w:r>
        <w:rPr>
          <w:rFonts w:ascii="Arial" w:hAnsi="Arial" w:cs="Arial"/>
          <w:sz w:val="20"/>
          <w:szCs w:val="20"/>
        </w:rPr>
        <w:t xml:space="preserve">The expression of (A) ACR, (B) AKR1C3, (C) CCL16, (D) CCNA1, (E) ELAVL2, (F) NOX4, (G) OAS3, (H) OGDH, (I) PIBFI, (J) PIP, (K) S100A7, (L) SMPX, (M)TNFSF18 in normal tissues as well as among tumor tissues in 34 tissues and organs throughout the body, * indicates a significance of less than 0.05, ** indicates a significance of less than 0.01, *** indicates a significance of less than 0.001, and **** indicates a significance of less than 0.0005. </w:t>
      </w:r>
    </w:p>
    <w:p w14:paraId="1C72A722" w14:textId="77777777" w:rsidR="00BB2342" w:rsidRDefault="00BB2342">
      <w:pPr>
        <w:spacing w:before="240" w:line="480" w:lineRule="auto"/>
        <w:rPr>
          <w:rFonts w:ascii="Arial" w:eastAsia="SimSun" w:hAnsi="Arial" w:cs="Arial"/>
          <w:sz w:val="20"/>
          <w:szCs w:val="20"/>
          <w:lang w:eastAsia="zh-CN"/>
        </w:rPr>
      </w:pPr>
    </w:p>
    <w:sectPr w:rsidR="00BB2342">
      <w:pgSz w:w="12240" w:h="15840"/>
      <w:pgMar w:top="1138" w:right="1181" w:bottom="1138" w:left="1282"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87A90" w14:textId="77777777" w:rsidR="00196A62" w:rsidRDefault="00196A62">
      <w:pPr>
        <w:spacing w:before="0" w:after="0"/>
      </w:pPr>
      <w:r>
        <w:separator/>
      </w:r>
    </w:p>
  </w:endnote>
  <w:endnote w:type="continuationSeparator" w:id="0">
    <w:p w14:paraId="444F901F" w14:textId="77777777" w:rsidR="00196A62" w:rsidRDefault="00196A6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Rockwell">
    <w:panose1 w:val="02060603020205020403"/>
    <w:charset w:val="00"/>
    <w:family w:val="roman"/>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E4DAC" w14:textId="77777777" w:rsidR="00BB2342" w:rsidRDefault="00000000">
    <w:pPr>
      <w:rPr>
        <w:color w:val="C00000"/>
        <w:szCs w:val="24"/>
      </w:rPr>
    </w:pPr>
    <w:r>
      <w:rPr>
        <w:noProof/>
        <w:lang w:val="en-GB" w:eastAsia="en-GB"/>
      </w:rPr>
      <mc:AlternateContent>
        <mc:Choice Requires="wps">
          <w:drawing>
            <wp:anchor distT="0" distB="0" distL="0" distR="0" simplePos="0" relativeHeight="251662336" behindDoc="0" locked="0" layoutInCell="1" allowOverlap="1" wp14:anchorId="6CF898C9" wp14:editId="180A44DE">
              <wp:simplePos x="0" y="0"/>
              <wp:positionH relativeFrom="page">
                <wp:align>left</wp:align>
              </wp:positionH>
              <wp:positionV relativeFrom="page">
                <wp:align>bottom</wp:align>
              </wp:positionV>
              <wp:extent cx="443865" cy="443865"/>
              <wp:effectExtent l="0" t="0" r="9525" b="0"/>
              <wp:wrapNone/>
              <wp:docPr id="38454458" name="Text Box 2" descr="Information Classification: Gener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C2B996" w14:textId="77777777" w:rsidR="00BB2342" w:rsidRDefault="00000000">
                          <w:pPr>
                            <w:spacing w:after="0"/>
                            <w:rPr>
                              <w:rFonts w:ascii="Rockwell" w:eastAsia="Rockwell" w:hAnsi="Rockwell" w:cs="Rockwell"/>
                              <w:color w:val="0078D7"/>
                              <w:sz w:val="18"/>
                              <w:szCs w:val="18"/>
                            </w:rPr>
                          </w:pPr>
                          <w:r>
                            <w:rPr>
                              <w:rFonts w:ascii="Rockwell" w:eastAsia="Rockwell" w:hAnsi="Rockwell" w:cs="Rockwell"/>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xmlns:wpsCustomData="http://www.wps.cn/officeDocument/2013/wpsCustomData">
          <w:pict>
            <v:shape id="Text Box 2" o:spid="_x0000_s1026" o:spt="202" alt="Information Classification: General" type="#_x0000_t202" style="position:absolute;left:0pt;height:34.95pt;width:34.95pt;mso-position-horizontal:left;mso-position-horizontal-relative:page;mso-position-vertical:bottom;mso-position-vertical-relative:page;mso-wrap-style:none;z-index:251662336;v-text-anchor:bottom;mso-width-relative:page;mso-height-relative:page;" filled="f" stroked="f" coordsize="21600,21600" o:gfxdata="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JMBQ6bRAAAAAwEAAA8AAAAAAAAAAQAgAAAAIgAAAGRycy9kb3du&#10;cmV2LnhtbFBLAQIUABQAAAAIAIdO4kATz+DzPwIAAIYEAAAOAAAAAAAAAAEAIAAAACABAABkcnMv&#10;ZTJvRG9jLnhtbFBLBQYAAAAABgAGAFkBAADRBQAAAAA=&#10;">
              <v:fill on="f" focussize="0,0"/>
              <v:stroke on="f"/>
              <v:imagedata o:title=""/>
              <o:lock v:ext="edit" aspectratio="f"/>
              <v:textbox inset="20pt,0mm,0mm,15pt" style="mso-fit-shape-to-text:t;">
                <w:txbxContent>
                  <w:p>
                    <w:pPr>
                      <w:spacing w:after="0"/>
                      <w:rPr>
                        <w:rFonts w:ascii="Rockwell" w:hAnsi="Rockwell" w:eastAsia="Rockwell" w:cs="Rockwell"/>
                        <w:color w:val="0078D7"/>
                        <w:sz w:val="18"/>
                        <w:szCs w:val="18"/>
                      </w:rPr>
                    </w:pPr>
                    <w:r>
                      <w:rPr>
                        <w:rFonts w:ascii="Rockwell" w:hAnsi="Rockwell" w:eastAsia="Rockwell" w:cs="Rockwell"/>
                        <w:color w:val="0078D7"/>
                        <w:sz w:val="18"/>
                        <w:szCs w:val="18"/>
                      </w:rPr>
                      <w:t>Information Classification: General</w:t>
                    </w:r>
                  </w:p>
                </w:txbxContent>
              </v:textbox>
            </v:shape>
          </w:pict>
        </mc:Fallback>
      </mc:AlternateContent>
    </w:r>
    <w:r>
      <w:rPr>
        <w:noProof/>
        <w:lang w:val="en-GB" w:eastAsia="en-GB"/>
      </w:rPr>
      <mc:AlternateContent>
        <mc:Choice Requires="wps">
          <w:drawing>
            <wp:anchor distT="0" distB="0" distL="114300" distR="114300" simplePos="0" relativeHeight="251660288" behindDoc="0" locked="0" layoutInCell="1" allowOverlap="1" wp14:anchorId="5D00B736" wp14:editId="7F818627">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1D95E48" w14:textId="77777777" w:rsidR="00BB2342" w:rsidRDefault="00000000">
                          <w:pPr>
                            <w:jc w:val="right"/>
                            <w:rPr>
                              <w:color w:val="000000" w:themeColor="text1"/>
                              <w:szCs w:val="40"/>
                            </w:rPr>
                          </w:pPr>
                          <w:r>
                            <w:rPr>
                              <w:color w:val="000000" w:themeColor="text1"/>
                              <w:szCs w:val="40"/>
                            </w:rPr>
                            <w:fldChar w:fldCharType="begin"/>
                          </w:r>
                          <w:r>
                            <w:rPr>
                              <w:color w:val="000000" w:themeColor="text1"/>
                              <w:szCs w:val="40"/>
                            </w:rPr>
                            <w:instrText xml:space="preserve"> PAGE  \* Arabic  \* MERGEFORMAT </w:instrText>
                          </w:r>
                          <w:r>
                            <w:rPr>
                              <w:color w:val="000000" w:themeColor="text1"/>
                              <w:szCs w:val="40"/>
                            </w:rPr>
                            <w:fldChar w:fldCharType="separate"/>
                          </w:r>
                          <w:r>
                            <w:rPr>
                              <w:color w:val="000000" w:themeColor="text1"/>
                              <w:szCs w:val="40"/>
                            </w:rPr>
                            <w:t>2</w:t>
                          </w:r>
                          <w:r>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xmlns:wpsCustomData="http://www.wps.cn/officeDocument/2013/wpsCustomData">
          <w:pict>
            <v:shape id="Text Box 1" o:spid="_x0000_s1026" o:spt="202" type="#_x0000_t202" style="position:absolute;left:0pt;margin-left:434.15pt;margin-top:724.2pt;height:31.15pt;width:118.8pt;mso-position-horizontal-relative:page;mso-position-vertical-relative:page;z-index:251660288;mso-width-relative:page;mso-height-relative:page;" filled="f" stroked="f" coordsize="21600,21600" o:gfxdata="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TFdEItIAAAAEAQAADwAAAAAAAAABACAAAAAiAAAAZHJzL2Rvd25yZXYueG1sUEsBAhQA&#10;FAAAAAgAh07iQFsR1fExAgAAcwQAAA4AAAAAAAAAAQAgAAAAIQEAAGRycy9lMm9Eb2MueG1sUEsF&#10;BgAAAAAGAAYAWQEAAMQFAAAAAA==&#10;">
              <v:fill on="f" focussize="0,0"/>
              <v:stroke on="f" weight="0.5pt"/>
              <v:imagedata o:title=""/>
              <o:lock v:ext="edit" aspectratio="f"/>
              <v:textbox style="mso-fit-shape-to-text:t;">
                <w:txbxContent>
                  <w:p>
                    <w:pPr>
                      <w:jc w:val="right"/>
                      <w:rPr>
                        <w:color w:val="000000" w:themeColor="text1"/>
                        <w:szCs w:val="40"/>
                        <w14:textFill>
                          <w14:solidFill>
                            <w14:schemeClr w14:val="tx1"/>
                          </w14:solidFill>
                        </w14:textFill>
                      </w:rPr>
                    </w:pPr>
                    <w:r>
                      <w:rPr>
                        <w:color w:val="000000" w:themeColor="text1"/>
                        <w:szCs w:val="40"/>
                        <w14:textFill>
                          <w14:solidFill>
                            <w14:schemeClr w14:val="tx1"/>
                          </w14:solidFill>
                        </w14:textFill>
                      </w:rPr>
                      <w:fldChar w:fldCharType="begin"/>
                    </w:r>
                    <w:r>
                      <w:rPr>
                        <w:color w:val="000000" w:themeColor="text1"/>
                        <w:szCs w:val="40"/>
                        <w14:textFill>
                          <w14:solidFill>
                            <w14:schemeClr w14:val="tx1"/>
                          </w14:solidFill>
                        </w14:textFill>
                      </w:rPr>
                      <w:instrText xml:space="preserve"> PAGE  \* Arabic  \* MERGEFORMAT </w:instrText>
                    </w:r>
                    <w:r>
                      <w:rPr>
                        <w:color w:val="000000" w:themeColor="text1"/>
                        <w:szCs w:val="40"/>
                        <w14:textFill>
                          <w14:solidFill>
                            <w14:schemeClr w14:val="tx1"/>
                          </w14:solidFill>
                        </w14:textFill>
                      </w:rPr>
                      <w:fldChar w:fldCharType="separate"/>
                    </w:r>
                    <w:r>
                      <w:rPr>
                        <w:color w:val="000000" w:themeColor="text1"/>
                        <w:szCs w:val="40"/>
                        <w14:textFill>
                          <w14:solidFill>
                            <w14:schemeClr w14:val="tx1"/>
                          </w14:solidFill>
                        </w14:textFill>
                      </w:rPr>
                      <w:t>2</w:t>
                    </w:r>
                    <w:r>
                      <w:rPr>
                        <w:color w:val="000000" w:themeColor="text1"/>
                        <w:szCs w:val="40"/>
                        <w14:textFill>
                          <w14:solidFill>
                            <w14:schemeClr w14:val="tx1"/>
                          </w14:solidFill>
                        </w14:textFill>
                      </w:rPr>
                      <w:fldChar w:fldCharType="end"/>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D7477" w14:textId="77777777" w:rsidR="00BB2342" w:rsidRDefault="00000000">
    <w:pPr>
      <w:rPr>
        <w:b/>
        <w:sz w:val="20"/>
        <w:szCs w:val="24"/>
      </w:rPr>
    </w:pPr>
    <w:r>
      <w:rPr>
        <w:noProof/>
        <w:lang w:val="en-GB" w:eastAsia="en-GB"/>
      </w:rPr>
      <mc:AlternateContent>
        <mc:Choice Requires="wps">
          <w:drawing>
            <wp:anchor distT="0" distB="0" distL="0" distR="0" simplePos="0" relativeHeight="251663360" behindDoc="0" locked="0" layoutInCell="1" allowOverlap="1" wp14:anchorId="270489D2" wp14:editId="7427F64E">
              <wp:simplePos x="0" y="0"/>
              <wp:positionH relativeFrom="page">
                <wp:align>left</wp:align>
              </wp:positionH>
              <wp:positionV relativeFrom="page">
                <wp:align>bottom</wp:align>
              </wp:positionV>
              <wp:extent cx="443865" cy="443865"/>
              <wp:effectExtent l="0" t="0" r="9525" b="0"/>
              <wp:wrapNone/>
              <wp:docPr id="1288022871" name="Text Box 3" descr="Information Classification: Gener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8A0C86" w14:textId="77777777" w:rsidR="00BB2342" w:rsidRDefault="00000000">
                          <w:pPr>
                            <w:spacing w:after="0"/>
                            <w:rPr>
                              <w:rFonts w:ascii="Rockwell" w:eastAsia="Rockwell" w:hAnsi="Rockwell" w:cs="Rockwell"/>
                              <w:color w:val="0078D7"/>
                              <w:sz w:val="18"/>
                              <w:szCs w:val="18"/>
                            </w:rPr>
                          </w:pPr>
                          <w:r>
                            <w:rPr>
                              <w:rFonts w:ascii="Rockwell" w:eastAsia="Rockwell" w:hAnsi="Rockwell" w:cs="Rockwell"/>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xmlns:wpsCustomData="http://www.wps.cn/officeDocument/2013/wpsCustomData">
          <w:pict>
            <v:shape id="Text Box 3" o:spid="_x0000_s1026" o:spt="202" alt="Information Classification: General" type="#_x0000_t202" style="position:absolute;left:0pt;height:34.95pt;width:34.95pt;mso-position-horizontal:left;mso-position-horizontal-relative:page;mso-position-vertical:bottom;mso-position-vertical-relative:page;mso-wrap-style:none;z-index:251663360;v-text-anchor:bottom;mso-width-relative:page;mso-height-relative:page;" filled="f" stroked="f" coordsize="21600,21600" o:gfxdata="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TAUOm0QAAAAMBAAAPAAAAAAAAAAEAIAAAACIAAABkcnMvZG93&#10;bnJldi54bWxQSwECFAAUAAAACACHTuJATak/SkACAACIBAAADgAAAAAAAAABACAAAAAgAQAAZHJz&#10;L2Uyb0RvYy54bWxQSwUGAAAAAAYABgBZAQAA0gUAAAAA&#10;">
              <v:fill on="f" focussize="0,0"/>
              <v:stroke on="f"/>
              <v:imagedata o:title=""/>
              <o:lock v:ext="edit" aspectratio="f"/>
              <v:textbox inset="20pt,0mm,0mm,15pt" style="mso-fit-shape-to-text:t;">
                <w:txbxContent>
                  <w:p>
                    <w:pPr>
                      <w:spacing w:after="0"/>
                      <w:rPr>
                        <w:rFonts w:ascii="Rockwell" w:hAnsi="Rockwell" w:eastAsia="Rockwell" w:cs="Rockwell"/>
                        <w:color w:val="0078D7"/>
                        <w:sz w:val="18"/>
                        <w:szCs w:val="18"/>
                      </w:rPr>
                    </w:pPr>
                    <w:r>
                      <w:rPr>
                        <w:rFonts w:ascii="Rockwell" w:hAnsi="Rockwell" w:eastAsia="Rockwell" w:cs="Rockwell"/>
                        <w:color w:val="0078D7"/>
                        <w:sz w:val="18"/>
                        <w:szCs w:val="18"/>
                      </w:rPr>
                      <w:t>Information Classification: General</w:t>
                    </w:r>
                  </w:p>
                </w:txbxContent>
              </v:textbox>
            </v:shape>
          </w:pict>
        </mc:Fallback>
      </mc:AlternateContent>
    </w:r>
    <w:r>
      <w:rPr>
        <w:noProof/>
        <w:lang w:val="en-GB" w:eastAsia="en-GB"/>
      </w:rPr>
      <mc:AlternateContent>
        <mc:Choice Requires="wps">
          <w:drawing>
            <wp:anchor distT="0" distB="0" distL="114300" distR="114300" simplePos="0" relativeHeight="251659264" behindDoc="0" locked="0" layoutInCell="1" allowOverlap="1" wp14:anchorId="3C21174E" wp14:editId="5C87E6AC">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6AD191D2" w14:textId="77777777" w:rsidR="00BB2342" w:rsidRDefault="00000000">
                          <w:pPr>
                            <w:jc w:val="right"/>
                            <w:rPr>
                              <w:color w:val="000000" w:themeColor="text1"/>
                              <w:szCs w:val="40"/>
                            </w:rPr>
                          </w:pPr>
                          <w:r>
                            <w:rPr>
                              <w:color w:val="000000" w:themeColor="text1"/>
                              <w:szCs w:val="40"/>
                            </w:rPr>
                            <w:fldChar w:fldCharType="begin"/>
                          </w:r>
                          <w:r>
                            <w:rPr>
                              <w:color w:val="000000" w:themeColor="text1"/>
                              <w:szCs w:val="40"/>
                            </w:rPr>
                            <w:instrText xml:space="preserve"> PAGE  \* Arabic  \* MERGEFORMAT </w:instrText>
                          </w:r>
                          <w:r>
                            <w:rPr>
                              <w:color w:val="000000" w:themeColor="text1"/>
                              <w:szCs w:val="40"/>
                            </w:rPr>
                            <w:fldChar w:fldCharType="separate"/>
                          </w:r>
                          <w:r>
                            <w:rPr>
                              <w:color w:val="000000" w:themeColor="text1"/>
                              <w:szCs w:val="40"/>
                            </w:rPr>
                            <w:t>3</w:t>
                          </w:r>
                          <w:r>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xmlns:wpsCustomData="http://www.wps.cn/officeDocument/2013/wpsCustomData">
          <w:pict>
            <v:shape id="Text Box 56" o:spid="_x0000_s1026" o:spt="202" type="#_x0000_t202" style="position:absolute;left:0pt;margin-left:434.15pt;margin-top:726.5pt;height:31.15pt;width:118.8pt;mso-position-horizontal-relative:page;mso-position-vertical-relative:page;z-index:251659264;mso-width-relative:page;mso-height-relative:page;" filled="f" stroked="f" coordsize="21600,21600" o:gfxdata="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MV0Qi0gAAAAQBAAAPAAAAAAAAAAEAIAAAACIAAABkcnMvZG93bnJldi54bWxQSwEC&#10;FAAUAAAACACHTuJARAcAODMCAAB1BAAADgAAAAAAAAABACAAAAAhAQAAZHJzL2Uyb0RvYy54bWxQ&#10;SwUGAAAAAAYABgBZAQAAxgUAAAAA&#10;">
              <v:fill on="f" focussize="0,0"/>
              <v:stroke on="f" weight="0.5pt"/>
              <v:imagedata o:title=""/>
              <o:lock v:ext="edit" aspectratio="f"/>
              <v:textbox style="mso-fit-shape-to-text:t;">
                <w:txbxContent>
                  <w:p>
                    <w:pPr>
                      <w:jc w:val="right"/>
                      <w:rPr>
                        <w:color w:val="000000" w:themeColor="text1"/>
                        <w:szCs w:val="40"/>
                        <w14:textFill>
                          <w14:solidFill>
                            <w14:schemeClr w14:val="tx1"/>
                          </w14:solidFill>
                        </w14:textFill>
                      </w:rPr>
                    </w:pPr>
                    <w:r>
                      <w:rPr>
                        <w:color w:val="000000" w:themeColor="text1"/>
                        <w:szCs w:val="40"/>
                        <w14:textFill>
                          <w14:solidFill>
                            <w14:schemeClr w14:val="tx1"/>
                          </w14:solidFill>
                        </w14:textFill>
                      </w:rPr>
                      <w:fldChar w:fldCharType="begin"/>
                    </w:r>
                    <w:r>
                      <w:rPr>
                        <w:color w:val="000000" w:themeColor="text1"/>
                        <w:szCs w:val="40"/>
                        <w14:textFill>
                          <w14:solidFill>
                            <w14:schemeClr w14:val="tx1"/>
                          </w14:solidFill>
                        </w14:textFill>
                      </w:rPr>
                      <w:instrText xml:space="preserve"> PAGE  \* Arabic  \* MERGEFORMAT </w:instrText>
                    </w:r>
                    <w:r>
                      <w:rPr>
                        <w:color w:val="000000" w:themeColor="text1"/>
                        <w:szCs w:val="40"/>
                        <w14:textFill>
                          <w14:solidFill>
                            <w14:schemeClr w14:val="tx1"/>
                          </w14:solidFill>
                        </w14:textFill>
                      </w:rPr>
                      <w:fldChar w:fldCharType="separate"/>
                    </w:r>
                    <w:r>
                      <w:rPr>
                        <w:color w:val="000000" w:themeColor="text1"/>
                        <w:szCs w:val="40"/>
                        <w14:textFill>
                          <w14:solidFill>
                            <w14:schemeClr w14:val="tx1"/>
                          </w14:solidFill>
                        </w14:textFill>
                      </w:rPr>
                      <w:t>3</w:t>
                    </w:r>
                    <w:r>
                      <w:rPr>
                        <w:color w:val="000000" w:themeColor="text1"/>
                        <w:szCs w:val="40"/>
                        <w14:textFill>
                          <w14:solidFill>
                            <w14:schemeClr w14:val="tx1"/>
                          </w14:solidFill>
                        </w14:textFill>
                      </w:rPr>
                      <w:fldChar w:fldCharType="end"/>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1712C" w14:textId="77777777" w:rsidR="00BB2342" w:rsidRDefault="00000000">
    <w:pPr>
      <w:pStyle w:val="Footer"/>
    </w:pPr>
    <w:r>
      <w:rPr>
        <w:noProof/>
      </w:rPr>
      <mc:AlternateContent>
        <mc:Choice Requires="wps">
          <w:drawing>
            <wp:anchor distT="0" distB="0" distL="0" distR="0" simplePos="0" relativeHeight="251661312" behindDoc="0" locked="0" layoutInCell="1" allowOverlap="1" wp14:anchorId="64A93E6E" wp14:editId="4BCCFC05">
              <wp:simplePos x="0" y="0"/>
              <wp:positionH relativeFrom="page">
                <wp:align>left</wp:align>
              </wp:positionH>
              <wp:positionV relativeFrom="page">
                <wp:align>bottom</wp:align>
              </wp:positionV>
              <wp:extent cx="443865" cy="443865"/>
              <wp:effectExtent l="0" t="0" r="9525" b="0"/>
              <wp:wrapNone/>
              <wp:docPr id="1622928208" name="Text Box 1" descr="Information Classification: Gener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EEF9B56" w14:textId="77777777" w:rsidR="00BB2342" w:rsidRDefault="00000000">
                          <w:pPr>
                            <w:spacing w:after="0"/>
                            <w:rPr>
                              <w:rFonts w:ascii="Rockwell" w:eastAsia="Rockwell" w:hAnsi="Rockwell" w:cs="Rockwell"/>
                              <w:color w:val="0078D7"/>
                              <w:sz w:val="18"/>
                              <w:szCs w:val="18"/>
                            </w:rPr>
                          </w:pPr>
                          <w:r>
                            <w:rPr>
                              <w:rFonts w:ascii="Rockwell" w:eastAsia="Rockwell" w:hAnsi="Rockwell" w:cs="Rockwell"/>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xmlns:wpsCustomData="http://www.wps.cn/officeDocument/2013/wpsCustomData">
          <w:pict>
            <v:shape id="Text Box 1" o:spid="_x0000_s1026" o:spt="202" alt="Information Classification: General" type="#_x0000_t202" style="position:absolute;left:0pt;height:34.95pt;width:34.95pt;mso-position-horizontal:left;mso-position-horizontal-relative:page;mso-position-vertical:bottom;mso-position-vertical-relative:page;mso-wrap-style:none;z-index:251661312;v-text-anchor:bottom;mso-width-relative:page;mso-height-relative:page;" filled="f" stroked="f" coordsize="21600,21600" o:gfxdata="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JMBQ6bRAAAAAwEAAA8AAAAAAAAAAQAgAAAAIgAAAGRycy9kb3du&#10;cmV2LnhtbFBLAQIUABQAAAAIAIdO4kBYks0lPwIAAIgEAAAOAAAAAAAAAAEAIAAAACABAABkcnMv&#10;ZTJvRG9jLnhtbFBLBQYAAAAABgAGAFkBAADRBQAAAAA=&#10;">
              <v:fill on="f" focussize="0,0"/>
              <v:stroke on="f"/>
              <v:imagedata o:title=""/>
              <o:lock v:ext="edit" aspectratio="f"/>
              <v:textbox inset="20pt,0mm,0mm,15pt" style="mso-fit-shape-to-text:t;">
                <w:txbxContent>
                  <w:p>
                    <w:pPr>
                      <w:spacing w:after="0"/>
                      <w:rPr>
                        <w:rFonts w:ascii="Rockwell" w:hAnsi="Rockwell" w:eastAsia="Rockwell" w:cs="Rockwell"/>
                        <w:color w:val="0078D7"/>
                        <w:sz w:val="18"/>
                        <w:szCs w:val="18"/>
                      </w:rPr>
                    </w:pPr>
                    <w:r>
                      <w:rPr>
                        <w:rFonts w:ascii="Rockwell" w:hAnsi="Rockwell" w:eastAsia="Rockwell" w:cs="Rockwell"/>
                        <w:color w:val="0078D7"/>
                        <w:sz w:val="18"/>
                        <w:szCs w:val="18"/>
                      </w:rPr>
                      <w:t>Information Classification: General</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565D6" w14:textId="77777777" w:rsidR="00196A62" w:rsidRDefault="00196A62">
      <w:pPr>
        <w:spacing w:before="0" w:after="0"/>
      </w:pPr>
      <w:r>
        <w:separator/>
      </w:r>
    </w:p>
  </w:footnote>
  <w:footnote w:type="continuationSeparator" w:id="0">
    <w:p w14:paraId="7DFD3EBB" w14:textId="77777777" w:rsidR="00196A62" w:rsidRDefault="00196A62">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AFB06" w14:textId="77777777" w:rsidR="00BB2342" w:rsidRDefault="00000000">
    <w:pPr>
      <w:rPr>
        <w:rFonts w:cs="Times New Roman"/>
      </w:rPr>
    </w:pPr>
    <w:r>
      <w:ptab w:relativeTo="margin" w:alignment="center" w:leader="none"/>
    </w:r>
    <w:r>
      <w:ptab w:relativeTo="margin" w:alignment="right" w:leader="none"/>
    </w:r>
    <w:r>
      <w:rPr>
        <w:rFonts w:cs="Times New Roman"/>
      </w:rPr>
      <w:t>Supplementary Material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F2EC6" w14:textId="77777777" w:rsidR="00BB2342" w:rsidRDefault="00000000">
    <w:r>
      <w:ptab w:relativeTo="margin" w:alignment="center" w:leader="none"/>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C0601A"/>
    <w:multiLevelType w:val="multilevel"/>
    <w:tmpl w:val="1EC0601A"/>
    <w:lvl w:ilvl="0">
      <w:start w:val="1"/>
      <w:numFmt w:val="decimal"/>
      <w:pStyle w:val="Heading1"/>
      <w:lvlText w:val="%1"/>
      <w:lvlJc w:val="left"/>
      <w:pPr>
        <w:tabs>
          <w:tab w:val="left" w:pos="567"/>
        </w:tabs>
        <w:ind w:left="567" w:hanging="567"/>
      </w:pPr>
      <w:rPr>
        <w:rFonts w:hint="default"/>
      </w:rPr>
    </w:lvl>
    <w:lvl w:ilvl="1">
      <w:start w:val="1"/>
      <w:numFmt w:val="decimal"/>
      <w:pStyle w:val="Heading2"/>
      <w:lvlText w:val="%1.%2"/>
      <w:lvlJc w:val="left"/>
      <w:pPr>
        <w:tabs>
          <w:tab w:val="left" w:pos="567"/>
        </w:tabs>
        <w:ind w:left="567" w:hanging="567"/>
      </w:pPr>
      <w:rPr>
        <w:rFonts w:hint="default"/>
      </w:rPr>
    </w:lvl>
    <w:lvl w:ilvl="2">
      <w:start w:val="1"/>
      <w:numFmt w:val="decimal"/>
      <w:pStyle w:val="Heading3"/>
      <w:lvlText w:val="%1.%2.%3"/>
      <w:lvlJc w:val="left"/>
      <w:pPr>
        <w:tabs>
          <w:tab w:val="left" w:pos="567"/>
        </w:tabs>
        <w:ind w:left="567" w:hanging="567"/>
      </w:pPr>
      <w:rPr>
        <w:rFonts w:hint="default"/>
      </w:rPr>
    </w:lvl>
    <w:lvl w:ilvl="3">
      <w:start w:val="1"/>
      <w:numFmt w:val="decimal"/>
      <w:pStyle w:val="Heading4"/>
      <w:lvlText w:val="%1.%2.%3.%4"/>
      <w:lvlJc w:val="left"/>
      <w:pPr>
        <w:tabs>
          <w:tab w:val="left" w:pos="567"/>
        </w:tabs>
        <w:ind w:left="567" w:hanging="567"/>
      </w:pPr>
      <w:rPr>
        <w:rFonts w:hint="default"/>
      </w:rPr>
    </w:lvl>
    <w:lvl w:ilvl="4">
      <w:start w:val="1"/>
      <w:numFmt w:val="decimal"/>
      <w:pStyle w:val="Heading5"/>
      <w:lvlText w:val="%1.%2.%3.%4.%5"/>
      <w:lvlJc w:val="left"/>
      <w:pPr>
        <w:tabs>
          <w:tab w:val="left" w:pos="567"/>
        </w:tabs>
        <w:ind w:left="567" w:hanging="567"/>
      </w:pPr>
      <w:rPr>
        <w:rFonts w:hint="default"/>
      </w:rPr>
    </w:lvl>
    <w:lvl w:ilvl="5">
      <w:start w:val="1"/>
      <w:numFmt w:val="lowerRoman"/>
      <w:lvlText w:val="%6."/>
      <w:lvlJc w:val="right"/>
      <w:pPr>
        <w:tabs>
          <w:tab w:val="left" w:pos="567"/>
        </w:tabs>
        <w:ind w:left="567" w:hanging="567"/>
      </w:pPr>
      <w:rPr>
        <w:rFonts w:hint="default"/>
      </w:rPr>
    </w:lvl>
    <w:lvl w:ilvl="6">
      <w:start w:val="1"/>
      <w:numFmt w:val="decimal"/>
      <w:lvlText w:val="%7."/>
      <w:lvlJc w:val="left"/>
      <w:pPr>
        <w:tabs>
          <w:tab w:val="left" w:pos="567"/>
        </w:tabs>
        <w:ind w:left="567" w:hanging="567"/>
      </w:pPr>
      <w:rPr>
        <w:rFonts w:hint="default"/>
      </w:rPr>
    </w:lvl>
    <w:lvl w:ilvl="7">
      <w:start w:val="1"/>
      <w:numFmt w:val="lowerLetter"/>
      <w:lvlText w:val="%8."/>
      <w:lvlJc w:val="left"/>
      <w:pPr>
        <w:tabs>
          <w:tab w:val="left" w:pos="567"/>
        </w:tabs>
        <w:ind w:left="567" w:hanging="567"/>
      </w:pPr>
      <w:rPr>
        <w:rFonts w:hint="default"/>
      </w:rPr>
    </w:lvl>
    <w:lvl w:ilvl="8">
      <w:start w:val="1"/>
      <w:numFmt w:val="lowerRoman"/>
      <w:lvlText w:val="%9."/>
      <w:lvlJc w:val="right"/>
      <w:pPr>
        <w:tabs>
          <w:tab w:val="left" w:pos="567"/>
        </w:tabs>
        <w:ind w:left="567" w:hanging="567"/>
      </w:pPr>
      <w:rPr>
        <w:rFonts w:hint="default"/>
      </w:rPr>
    </w:lvl>
  </w:abstractNum>
  <w:abstractNum w:abstractNumId="1" w15:restartNumberingAfterBreak="0">
    <w:nsid w:val="225305B5"/>
    <w:multiLevelType w:val="multilevel"/>
    <w:tmpl w:val="225305B5"/>
    <w:lvl w:ilvl="0">
      <w:start w:val="1"/>
      <w:numFmt w:val="bullet"/>
      <w:pStyle w:val="ListParagraph"/>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 w15:restartNumberingAfterBreak="0">
    <w:nsid w:val="34747739"/>
    <w:multiLevelType w:val="multilevel"/>
    <w:tmpl w:val="34747739"/>
    <w:lvl w:ilvl="0">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32736003">
    <w:abstractNumId w:val="0"/>
  </w:num>
  <w:num w:numId="2" w16cid:durableId="1620646416">
    <w:abstractNumId w:val="1"/>
  </w:num>
  <w:num w:numId="3" w16cid:durableId="16478289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5"/>
  <w:proofState w:spelling="clean" w:grammar="clean"/>
  <w:attachedTemplate r:id="rId1"/>
  <w:defaultTabStop w:val="720"/>
  <w:evenAndOddHeaders/>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E1MjM0MTW0MLQwt7BQ0lEKTi0uzszPAykwqgUATrg+PywAAAA="/>
    <w:docVar w:name="commondata" w:val="eyJoZGlkIjoiNDhmZWIzOTg3ZjFhOGM2YTA5NTNjMjRmOGVlNjIyMmMifQ=="/>
    <w:docVar w:name="KY_MEDREF_DOCUID" w:val="{5CA9DBCA-8446-4849-A92E-DF7CD03C4301}"/>
    <w:docVar w:name="KY_MEDREF_VERSION" w:val="3"/>
  </w:docVars>
  <w:rsids>
    <w:rsidRoot w:val="00803D24"/>
    <w:rsid w:val="00005012"/>
    <w:rsid w:val="0001436A"/>
    <w:rsid w:val="0002591A"/>
    <w:rsid w:val="00034304"/>
    <w:rsid w:val="00035434"/>
    <w:rsid w:val="00052A14"/>
    <w:rsid w:val="00065BB8"/>
    <w:rsid w:val="00077D53"/>
    <w:rsid w:val="000B05D2"/>
    <w:rsid w:val="000B2E8D"/>
    <w:rsid w:val="000C3C43"/>
    <w:rsid w:val="000D580B"/>
    <w:rsid w:val="00105FD9"/>
    <w:rsid w:val="00116C67"/>
    <w:rsid w:val="00117666"/>
    <w:rsid w:val="00121A8A"/>
    <w:rsid w:val="0014583C"/>
    <w:rsid w:val="001549D3"/>
    <w:rsid w:val="00157C7A"/>
    <w:rsid w:val="00160065"/>
    <w:rsid w:val="00177D84"/>
    <w:rsid w:val="00196A62"/>
    <w:rsid w:val="001C5194"/>
    <w:rsid w:val="001D2D45"/>
    <w:rsid w:val="001D6626"/>
    <w:rsid w:val="001E725F"/>
    <w:rsid w:val="002625ED"/>
    <w:rsid w:val="00267D18"/>
    <w:rsid w:val="002748D8"/>
    <w:rsid w:val="002868E2"/>
    <w:rsid w:val="002869C3"/>
    <w:rsid w:val="002936E4"/>
    <w:rsid w:val="002B4A57"/>
    <w:rsid w:val="002B5826"/>
    <w:rsid w:val="002C006D"/>
    <w:rsid w:val="002C74CA"/>
    <w:rsid w:val="002D6CC6"/>
    <w:rsid w:val="00342150"/>
    <w:rsid w:val="00352A8D"/>
    <w:rsid w:val="003544FB"/>
    <w:rsid w:val="00372126"/>
    <w:rsid w:val="003D2F2D"/>
    <w:rsid w:val="003F37C4"/>
    <w:rsid w:val="003F3E33"/>
    <w:rsid w:val="00401590"/>
    <w:rsid w:val="00447801"/>
    <w:rsid w:val="00452E9C"/>
    <w:rsid w:val="004735C8"/>
    <w:rsid w:val="004961FF"/>
    <w:rsid w:val="004F76FE"/>
    <w:rsid w:val="00517A89"/>
    <w:rsid w:val="005250F2"/>
    <w:rsid w:val="00560370"/>
    <w:rsid w:val="00593EEA"/>
    <w:rsid w:val="005A5EEE"/>
    <w:rsid w:val="005B0245"/>
    <w:rsid w:val="005D0160"/>
    <w:rsid w:val="005F3E4F"/>
    <w:rsid w:val="006375C7"/>
    <w:rsid w:val="00654E8F"/>
    <w:rsid w:val="00660D05"/>
    <w:rsid w:val="006820B1"/>
    <w:rsid w:val="006B7D14"/>
    <w:rsid w:val="006D068F"/>
    <w:rsid w:val="00701727"/>
    <w:rsid w:val="0070566C"/>
    <w:rsid w:val="00713953"/>
    <w:rsid w:val="00714C50"/>
    <w:rsid w:val="00725A7D"/>
    <w:rsid w:val="007302C3"/>
    <w:rsid w:val="00730A64"/>
    <w:rsid w:val="007501BE"/>
    <w:rsid w:val="007779F1"/>
    <w:rsid w:val="00777FD3"/>
    <w:rsid w:val="00790BB3"/>
    <w:rsid w:val="007A551C"/>
    <w:rsid w:val="007C206C"/>
    <w:rsid w:val="00803D24"/>
    <w:rsid w:val="00807F29"/>
    <w:rsid w:val="00817DD6"/>
    <w:rsid w:val="008256E6"/>
    <w:rsid w:val="0088176B"/>
    <w:rsid w:val="00881C4A"/>
    <w:rsid w:val="00885156"/>
    <w:rsid w:val="008851A8"/>
    <w:rsid w:val="00906696"/>
    <w:rsid w:val="00914D97"/>
    <w:rsid w:val="009151AA"/>
    <w:rsid w:val="0093429D"/>
    <w:rsid w:val="00943573"/>
    <w:rsid w:val="00970F7D"/>
    <w:rsid w:val="00994A3D"/>
    <w:rsid w:val="009C2B12"/>
    <w:rsid w:val="009C70F3"/>
    <w:rsid w:val="009E6524"/>
    <w:rsid w:val="00A174D9"/>
    <w:rsid w:val="00A465CD"/>
    <w:rsid w:val="00A569CD"/>
    <w:rsid w:val="00A938E7"/>
    <w:rsid w:val="00AB381E"/>
    <w:rsid w:val="00AB6715"/>
    <w:rsid w:val="00B15D0D"/>
    <w:rsid w:val="00B1671E"/>
    <w:rsid w:val="00B25EB8"/>
    <w:rsid w:val="00B354E1"/>
    <w:rsid w:val="00B37F4D"/>
    <w:rsid w:val="00B51B58"/>
    <w:rsid w:val="00BB2342"/>
    <w:rsid w:val="00BC3257"/>
    <w:rsid w:val="00BC6F3B"/>
    <w:rsid w:val="00BE02EF"/>
    <w:rsid w:val="00BF1B1F"/>
    <w:rsid w:val="00C05EEF"/>
    <w:rsid w:val="00C50519"/>
    <w:rsid w:val="00C52A7B"/>
    <w:rsid w:val="00C53ADE"/>
    <w:rsid w:val="00C56BAF"/>
    <w:rsid w:val="00C679AA"/>
    <w:rsid w:val="00C75972"/>
    <w:rsid w:val="00CB605B"/>
    <w:rsid w:val="00CC0A3A"/>
    <w:rsid w:val="00CC206A"/>
    <w:rsid w:val="00CD066B"/>
    <w:rsid w:val="00CD39DC"/>
    <w:rsid w:val="00CE4FEE"/>
    <w:rsid w:val="00CF50E5"/>
    <w:rsid w:val="00D30B47"/>
    <w:rsid w:val="00DB482C"/>
    <w:rsid w:val="00DB59C3"/>
    <w:rsid w:val="00DC259A"/>
    <w:rsid w:val="00DE23E8"/>
    <w:rsid w:val="00E1222A"/>
    <w:rsid w:val="00E25769"/>
    <w:rsid w:val="00E52377"/>
    <w:rsid w:val="00E64E17"/>
    <w:rsid w:val="00E866C9"/>
    <w:rsid w:val="00EA3D3C"/>
    <w:rsid w:val="00EE197B"/>
    <w:rsid w:val="00EE42BA"/>
    <w:rsid w:val="00F46900"/>
    <w:rsid w:val="00F61D89"/>
    <w:rsid w:val="019E0DCA"/>
    <w:rsid w:val="0D133690"/>
    <w:rsid w:val="12BA6F4D"/>
    <w:rsid w:val="15A16A5F"/>
    <w:rsid w:val="16894493"/>
    <w:rsid w:val="1ABA682C"/>
    <w:rsid w:val="21E61BE2"/>
    <w:rsid w:val="230E38C4"/>
    <w:rsid w:val="23B34B45"/>
    <w:rsid w:val="25AF3391"/>
    <w:rsid w:val="25E469E4"/>
    <w:rsid w:val="2EF11599"/>
    <w:rsid w:val="31F3429D"/>
    <w:rsid w:val="337B453B"/>
    <w:rsid w:val="33E86D49"/>
    <w:rsid w:val="480C77D5"/>
    <w:rsid w:val="49A36737"/>
    <w:rsid w:val="60377E6C"/>
    <w:rsid w:val="729C2870"/>
    <w:rsid w:val="78323A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3F1763A"/>
  <w14:defaultImageDpi w14:val="32767"/>
  <w15:docId w15:val="{5D680341-39AE-480B-9769-C7FD4DD90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NZ" w:eastAsia="en-NZ" w:bidi="ar-SA"/>
      </w:rPr>
    </w:rPrDefault>
    <w:pPrDefault/>
  </w:docDefaults>
  <w:latentStyles w:defLockedState="0" w:defUIPriority="99" w:defSemiHidden="0" w:defUnhideWhenUsed="0" w:defQFormat="0" w:count="376">
    <w:lsdException w:name="Normal" w:uiPriority="0"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240"/>
    </w:pPr>
    <w:rPr>
      <w:rFonts w:eastAsiaTheme="minorHAnsi" w:cstheme="minorBidi"/>
      <w:sz w:val="24"/>
      <w:szCs w:val="22"/>
      <w:lang w:val="en-US" w:eastAsia="en-US"/>
    </w:rPr>
  </w:style>
  <w:style w:type="paragraph" w:styleId="Heading1">
    <w:name w:val="heading 1"/>
    <w:basedOn w:val="ListParagraph"/>
    <w:next w:val="Normal"/>
    <w:link w:val="Heading1Char"/>
    <w:uiPriority w:val="2"/>
    <w:qFormat/>
    <w:pPr>
      <w:numPr>
        <w:numId w:val="1"/>
      </w:numPr>
      <w:spacing w:before="240"/>
      <w:contextualSpacing w:val="0"/>
      <w:outlineLvl w:val="0"/>
    </w:pPr>
    <w:rPr>
      <w:b/>
    </w:rPr>
  </w:style>
  <w:style w:type="paragraph" w:styleId="Heading2">
    <w:name w:val="heading 2"/>
    <w:basedOn w:val="Heading1"/>
    <w:next w:val="Normal"/>
    <w:link w:val="Heading2Char"/>
    <w:uiPriority w:val="2"/>
    <w:qFormat/>
    <w:pPr>
      <w:numPr>
        <w:ilvl w:val="1"/>
      </w:numPr>
      <w:spacing w:after="200"/>
      <w:outlineLvl w:val="1"/>
    </w:pPr>
  </w:style>
  <w:style w:type="paragraph" w:styleId="Heading3">
    <w:name w:val="heading 3"/>
    <w:basedOn w:val="Normal"/>
    <w:next w:val="Normal"/>
    <w:link w:val="Heading3Char"/>
    <w:uiPriority w:val="2"/>
    <w:qFormat/>
    <w:pPr>
      <w:keepNext/>
      <w:keepLines/>
      <w:numPr>
        <w:ilvl w:val="2"/>
        <w:numId w:val="1"/>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pPr>
      <w:numPr>
        <w:ilvl w:val="3"/>
      </w:numPr>
      <w:outlineLvl w:val="3"/>
    </w:pPr>
    <w:rPr>
      <w:iCs/>
    </w:rPr>
  </w:style>
  <w:style w:type="paragraph" w:styleId="Heading5">
    <w:name w:val="heading 5"/>
    <w:basedOn w:val="Heading4"/>
    <w:next w:val="Normal"/>
    <w:link w:val="Heading5Char"/>
    <w:uiPriority w:val="2"/>
    <w:qFormat/>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
    <w:qFormat/>
    <w:pPr>
      <w:numPr>
        <w:numId w:val="2"/>
      </w:numPr>
      <w:contextualSpacing/>
    </w:pPr>
    <w:rPr>
      <w:rFonts w:eastAsia="Cambria" w:cs="Times New Roman"/>
      <w:szCs w:val="24"/>
    </w:rPr>
  </w:style>
  <w:style w:type="paragraph" w:styleId="Caption">
    <w:name w:val="caption"/>
    <w:basedOn w:val="Normal"/>
    <w:next w:val="NoSpacing"/>
    <w:uiPriority w:val="35"/>
    <w:unhideWhenUsed/>
    <w:qFormat/>
    <w:pPr>
      <w:keepNext/>
    </w:pPr>
    <w:rPr>
      <w:rFonts w:cs="Times New Roman"/>
      <w:b/>
      <w:bCs/>
      <w:szCs w:val="24"/>
    </w:rPr>
  </w:style>
  <w:style w:type="paragraph" w:styleId="NoSpacing">
    <w:name w:val="No Spacing"/>
    <w:uiPriority w:val="99"/>
    <w:unhideWhenUsed/>
    <w:qFormat/>
    <w:rPr>
      <w:rFonts w:eastAsiaTheme="minorHAnsi" w:cstheme="minorBidi"/>
      <w:sz w:val="24"/>
      <w:szCs w:val="22"/>
      <w:lang w:val="en-US" w:eastAsia="en-US"/>
    </w:rPr>
  </w:style>
  <w:style w:type="paragraph" w:styleId="CommentText">
    <w:name w:val="annotation text"/>
    <w:basedOn w:val="Normal"/>
    <w:link w:val="CommentTextChar"/>
    <w:uiPriority w:val="99"/>
    <w:semiHidden/>
    <w:unhideWhenUsed/>
    <w:qFormat/>
    <w:rPr>
      <w:sz w:val="20"/>
      <w:szCs w:val="20"/>
    </w:rPr>
  </w:style>
  <w:style w:type="paragraph" w:styleId="EndnoteText">
    <w:name w:val="endnote text"/>
    <w:basedOn w:val="Normal"/>
    <w:link w:val="EndnoteTextChar"/>
    <w:uiPriority w:val="99"/>
    <w:semiHidden/>
    <w:unhideWhenUsed/>
    <w:qFormat/>
    <w:pPr>
      <w:spacing w:after="0"/>
    </w:pPr>
    <w:rPr>
      <w:sz w:val="20"/>
      <w:szCs w:val="20"/>
    </w:rPr>
  </w:style>
  <w:style w:type="paragraph" w:styleId="BalloonText">
    <w:name w:val="Balloon Text"/>
    <w:basedOn w:val="Normal"/>
    <w:link w:val="BalloonTextChar"/>
    <w:uiPriority w:val="99"/>
    <w:semiHidden/>
    <w:unhideWhenUsed/>
    <w:qFormat/>
    <w:pPr>
      <w:spacing w:after="0"/>
    </w:pPr>
    <w:rPr>
      <w:rFonts w:ascii="Tahoma" w:hAnsi="Tahoma" w:cs="Tahoma"/>
      <w:sz w:val="16"/>
      <w:szCs w:val="16"/>
    </w:rPr>
  </w:style>
  <w:style w:type="paragraph" w:styleId="Footer">
    <w:name w:val="footer"/>
    <w:basedOn w:val="Normal"/>
    <w:link w:val="FooterChar"/>
    <w:uiPriority w:val="99"/>
    <w:unhideWhenUsed/>
    <w:qFormat/>
    <w:pPr>
      <w:tabs>
        <w:tab w:val="center" w:pos="4844"/>
        <w:tab w:val="right" w:pos="9689"/>
      </w:tabs>
      <w:spacing w:after="0"/>
    </w:pPr>
  </w:style>
  <w:style w:type="paragraph" w:styleId="Header">
    <w:name w:val="header"/>
    <w:basedOn w:val="Normal"/>
    <w:link w:val="HeaderChar"/>
    <w:uiPriority w:val="99"/>
    <w:unhideWhenUsed/>
    <w:qFormat/>
    <w:pPr>
      <w:tabs>
        <w:tab w:val="center" w:pos="4844"/>
        <w:tab w:val="right" w:pos="9689"/>
      </w:tabs>
    </w:pPr>
    <w:rPr>
      <w:b/>
    </w:rPr>
  </w:style>
  <w:style w:type="paragraph" w:styleId="Subtitle">
    <w:name w:val="Subtitle"/>
    <w:basedOn w:val="Normal"/>
    <w:next w:val="Normal"/>
    <w:link w:val="SubtitleChar"/>
    <w:uiPriority w:val="99"/>
    <w:unhideWhenUsed/>
    <w:qFormat/>
    <w:pPr>
      <w:spacing w:before="240"/>
    </w:pPr>
    <w:rPr>
      <w:rFonts w:cs="Times New Roman"/>
      <w:b/>
      <w:szCs w:val="24"/>
    </w:rPr>
  </w:style>
  <w:style w:type="paragraph" w:styleId="FootnoteText">
    <w:name w:val="footnote text"/>
    <w:basedOn w:val="Normal"/>
    <w:link w:val="FootnoteTextChar"/>
    <w:uiPriority w:val="99"/>
    <w:semiHidden/>
    <w:unhideWhenUsed/>
    <w:qFormat/>
    <w:pPr>
      <w:spacing w:after="0"/>
    </w:pPr>
    <w:rPr>
      <w:sz w:val="20"/>
      <w:szCs w:val="20"/>
    </w:rPr>
  </w:style>
  <w:style w:type="paragraph" w:styleId="NormalWeb">
    <w:name w:val="Normal (Web)"/>
    <w:basedOn w:val="Normal"/>
    <w:uiPriority w:val="99"/>
    <w:unhideWhenUsed/>
    <w:qFormat/>
    <w:pPr>
      <w:spacing w:before="100" w:beforeAutospacing="1" w:after="100" w:afterAutospacing="1"/>
    </w:pPr>
    <w:rPr>
      <w:rFonts w:eastAsia="Times New Roman" w:cs="Times New Roman"/>
      <w:szCs w:val="24"/>
    </w:rPr>
  </w:style>
  <w:style w:type="paragraph" w:styleId="Title">
    <w:name w:val="Title"/>
    <w:basedOn w:val="Normal"/>
    <w:next w:val="Normal"/>
    <w:link w:val="TitleChar"/>
    <w:qFormat/>
    <w:pPr>
      <w:suppressLineNumbers/>
      <w:spacing w:before="240" w:after="360"/>
      <w:jc w:val="center"/>
    </w:pPr>
    <w:rPr>
      <w:rFonts w:cs="Times New Roman"/>
      <w:b/>
      <w:sz w:val="32"/>
      <w:szCs w:val="32"/>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rFonts w:ascii="Times New Roman" w:hAnsi="Times New Roman"/>
      <w:b/>
      <w:bCs/>
    </w:rPr>
  </w:style>
  <w:style w:type="character" w:styleId="EndnoteReference">
    <w:name w:val="endnote reference"/>
    <w:basedOn w:val="DefaultParagraphFont"/>
    <w:uiPriority w:val="99"/>
    <w:semiHidden/>
    <w:unhideWhenUsed/>
    <w:qFormat/>
    <w:rPr>
      <w:vertAlign w:val="superscript"/>
    </w:rPr>
  </w:style>
  <w:style w:type="character" w:styleId="FollowedHyperlink">
    <w:name w:val="FollowedHyperlink"/>
    <w:basedOn w:val="DefaultParagraphFont"/>
    <w:uiPriority w:val="99"/>
    <w:semiHidden/>
    <w:unhideWhenUsed/>
    <w:qFormat/>
    <w:rPr>
      <w:color w:val="800080" w:themeColor="followedHyperlink"/>
      <w:u w:val="single"/>
    </w:rPr>
  </w:style>
  <w:style w:type="character" w:styleId="Emphasis">
    <w:name w:val="Emphasis"/>
    <w:basedOn w:val="DefaultParagraphFont"/>
    <w:uiPriority w:val="20"/>
    <w:qFormat/>
    <w:rPr>
      <w:rFonts w:ascii="Times New Roman" w:hAnsi="Times New Roman"/>
      <w:i/>
      <w:iCs/>
    </w:rPr>
  </w:style>
  <w:style w:type="character" w:styleId="LineNumber">
    <w:name w:val="line number"/>
    <w:basedOn w:val="DefaultParagraphFont"/>
    <w:uiPriority w:val="99"/>
    <w:semiHidden/>
    <w:unhideWhenUsed/>
    <w:qFormat/>
  </w:style>
  <w:style w:type="character" w:styleId="Hyperlink">
    <w:name w:val="Hyperlink"/>
    <w:basedOn w:val="DefaultParagraphFont"/>
    <w:uiPriority w:val="99"/>
    <w:unhideWhenUsed/>
    <w:qFormat/>
    <w:rPr>
      <w:color w:val="0000FF"/>
      <w:u w:val="single"/>
    </w:rPr>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basedOn w:val="DefaultParagraphFont"/>
    <w:uiPriority w:val="99"/>
    <w:semiHidden/>
    <w:unhideWhenUsed/>
    <w:qFormat/>
    <w:rPr>
      <w:vertAlign w:val="superscript"/>
    </w:rPr>
  </w:style>
  <w:style w:type="character" w:customStyle="1" w:styleId="Heading1Char">
    <w:name w:val="Heading 1 Char"/>
    <w:basedOn w:val="DefaultParagraphFont"/>
    <w:link w:val="Heading1"/>
    <w:uiPriority w:val="2"/>
    <w:qFormat/>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qFormat/>
    <w:rPr>
      <w:rFonts w:ascii="Times New Roman" w:eastAsia="Cambria" w:hAnsi="Times New Roman" w:cs="Times New Roman"/>
      <w:b/>
      <w:sz w:val="24"/>
      <w:szCs w:val="24"/>
    </w:rPr>
  </w:style>
  <w:style w:type="character" w:customStyle="1" w:styleId="SubtitleChar">
    <w:name w:val="Subtitle Char"/>
    <w:basedOn w:val="DefaultParagraphFont"/>
    <w:link w:val="Subtitle"/>
    <w:uiPriority w:val="99"/>
    <w:qFormat/>
    <w:rPr>
      <w:rFonts w:ascii="Times New Roman" w:hAnsi="Times New Roman" w:cs="Times New Roman"/>
      <w:b/>
      <w:sz w:val="24"/>
      <w:szCs w:val="24"/>
    </w:rPr>
  </w:style>
  <w:style w:type="paragraph" w:customStyle="1" w:styleId="AuthorList">
    <w:name w:val="Author List"/>
    <w:basedOn w:val="Subtitle"/>
    <w:next w:val="Normal"/>
    <w:uiPriority w:val="1"/>
    <w:qFormat/>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BookTitle1">
    <w:name w:val="Book Title1"/>
    <w:basedOn w:val="DefaultParagraphFont"/>
    <w:uiPriority w:val="33"/>
    <w:qFormat/>
    <w:rPr>
      <w:rFonts w:ascii="Times New Roman" w:hAnsi="Times New Roman"/>
      <w:b/>
      <w:bCs/>
      <w:i/>
      <w:iCs/>
      <w:spacing w:val="5"/>
    </w:rPr>
  </w:style>
  <w:style w:type="character" w:customStyle="1" w:styleId="CommentTextChar">
    <w:name w:val="Comment Text Char"/>
    <w:basedOn w:val="DefaultParagraphFont"/>
    <w:link w:val="CommentText"/>
    <w:uiPriority w:val="99"/>
    <w:semiHidden/>
    <w:qFormat/>
    <w:rPr>
      <w:rFonts w:ascii="Times New Roman" w:hAnsi="Times New Roman"/>
      <w:sz w:val="20"/>
      <w:szCs w:val="20"/>
    </w:rPr>
  </w:style>
  <w:style w:type="character" w:customStyle="1" w:styleId="CommentSubjectChar">
    <w:name w:val="Comment Subject Char"/>
    <w:basedOn w:val="CommentTextChar"/>
    <w:link w:val="CommentSubject"/>
    <w:uiPriority w:val="99"/>
    <w:semiHidden/>
    <w:qFormat/>
    <w:rPr>
      <w:rFonts w:ascii="Times New Roman" w:hAnsi="Times New Roman"/>
      <w:b/>
      <w:bCs/>
      <w:sz w:val="20"/>
      <w:szCs w:val="20"/>
    </w:rPr>
  </w:style>
  <w:style w:type="character" w:customStyle="1" w:styleId="EndnoteTextChar">
    <w:name w:val="Endnote Text Char"/>
    <w:basedOn w:val="DefaultParagraphFont"/>
    <w:link w:val="EndnoteText"/>
    <w:uiPriority w:val="99"/>
    <w:semiHidden/>
    <w:qFormat/>
    <w:rPr>
      <w:rFonts w:ascii="Times New Roman" w:hAnsi="Times New Roman"/>
      <w:sz w:val="20"/>
      <w:szCs w:val="20"/>
    </w:rPr>
  </w:style>
  <w:style w:type="character" w:customStyle="1" w:styleId="FooterChar">
    <w:name w:val="Footer Char"/>
    <w:basedOn w:val="DefaultParagraphFont"/>
    <w:link w:val="Footer"/>
    <w:uiPriority w:val="99"/>
    <w:qFormat/>
    <w:rPr>
      <w:rFonts w:ascii="Times New Roman" w:hAnsi="Times New Roman"/>
      <w:sz w:val="24"/>
    </w:rPr>
  </w:style>
  <w:style w:type="character" w:customStyle="1" w:styleId="FootnoteTextChar">
    <w:name w:val="Footnote Text Char"/>
    <w:basedOn w:val="DefaultParagraphFont"/>
    <w:link w:val="FootnoteText"/>
    <w:uiPriority w:val="99"/>
    <w:semiHidden/>
    <w:qFormat/>
    <w:rPr>
      <w:rFonts w:ascii="Times New Roman" w:hAnsi="Times New Roman"/>
      <w:sz w:val="20"/>
      <w:szCs w:val="20"/>
    </w:rPr>
  </w:style>
  <w:style w:type="character" w:customStyle="1" w:styleId="HeaderChar">
    <w:name w:val="Header Char"/>
    <w:basedOn w:val="DefaultParagraphFont"/>
    <w:link w:val="Header"/>
    <w:uiPriority w:val="99"/>
    <w:qFormat/>
    <w:rPr>
      <w:rFonts w:ascii="Times New Roman" w:hAnsi="Times New Roman"/>
      <w:b/>
      <w:sz w:val="24"/>
    </w:rPr>
  </w:style>
  <w:style w:type="character" w:customStyle="1" w:styleId="IntenseEmphasis1">
    <w:name w:val="Intense Emphasis1"/>
    <w:basedOn w:val="DefaultParagraphFont"/>
    <w:uiPriority w:val="21"/>
    <w:unhideWhenUsed/>
    <w:qFormat/>
    <w:rPr>
      <w:rFonts w:ascii="Times New Roman" w:hAnsi="Times New Roman"/>
      <w:i/>
      <w:iCs/>
      <w:color w:val="auto"/>
    </w:rPr>
  </w:style>
  <w:style w:type="character" w:customStyle="1" w:styleId="IntenseReference1">
    <w:name w:val="Intense Reference1"/>
    <w:basedOn w:val="DefaultParagraphFont"/>
    <w:uiPriority w:val="32"/>
    <w:qFormat/>
    <w:rPr>
      <w:b/>
      <w:bCs/>
      <w:smallCaps/>
      <w:color w:val="auto"/>
      <w:spacing w:val="5"/>
    </w:rPr>
  </w:style>
  <w:style w:type="character" w:customStyle="1" w:styleId="Heading3Char">
    <w:name w:val="Heading 3 Char"/>
    <w:basedOn w:val="DefaultParagraphFont"/>
    <w:link w:val="Heading3"/>
    <w:uiPriority w:val="2"/>
    <w:qFormat/>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2"/>
    <w:qFormat/>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qFormat/>
    <w:rPr>
      <w:rFonts w:ascii="Times New Roman" w:eastAsiaTheme="majorEastAsia" w:hAnsi="Times New Roman" w:cstheme="majorBidi"/>
      <w:b/>
      <w:iCs/>
      <w:sz w:val="24"/>
      <w:szCs w:val="24"/>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i/>
      <w:iCs/>
      <w:color w:val="404040" w:themeColor="text1" w:themeTint="BF"/>
      <w:sz w:val="24"/>
    </w:rPr>
  </w:style>
  <w:style w:type="character" w:customStyle="1" w:styleId="SubtleEmphasis1">
    <w:name w:val="Subtle Emphasis1"/>
    <w:basedOn w:val="DefaultParagraphFont"/>
    <w:uiPriority w:val="19"/>
    <w:qFormat/>
    <w:rPr>
      <w:rFonts w:ascii="Times New Roman" w:hAnsi="Times New Roman"/>
      <w:i/>
      <w:iCs/>
      <w:color w:val="404040" w:themeColor="text1" w:themeTint="BF"/>
    </w:rPr>
  </w:style>
  <w:style w:type="character" w:customStyle="1" w:styleId="TitleChar">
    <w:name w:val="Title Char"/>
    <w:basedOn w:val="DefaultParagraphFont"/>
    <w:link w:val="Title"/>
    <w:qFormat/>
    <w:rPr>
      <w:rFonts w:ascii="Times New Roman" w:hAnsi="Times New Roman" w:cs="Times New Roman"/>
      <w:b/>
      <w:sz w:val="32"/>
      <w:szCs w:val="32"/>
    </w:rPr>
  </w:style>
  <w:style w:type="paragraph" w:customStyle="1" w:styleId="SupplementaryMaterial">
    <w:name w:val="Supplementary Material"/>
    <w:basedOn w:val="Title"/>
    <w:next w:val="Title"/>
    <w:qFormat/>
    <w:pPr>
      <w:spacing w:after="120"/>
    </w:pPr>
    <w:rPr>
      <w:i/>
    </w:rPr>
  </w:style>
  <w:style w:type="paragraph" w:customStyle="1" w:styleId="Revision1">
    <w:name w:val="Revision1"/>
    <w:hidden/>
    <w:uiPriority w:val="99"/>
    <w:semiHidden/>
    <w:qFormat/>
    <w:rPr>
      <w:rFonts w:eastAsiaTheme="minorHAnsi" w:cstheme="minorBidi"/>
      <w:sz w:val="24"/>
      <w:szCs w:val="22"/>
      <w:lang w:val="en-US"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2">
    <w:name w:val="Revision2"/>
    <w:hidden/>
    <w:uiPriority w:val="99"/>
    <w:semiHidden/>
    <w:qFormat/>
    <w:rPr>
      <w:rFonts w:eastAsiaTheme="minorHAnsi" w:cstheme="minorBidi"/>
      <w:sz w:val="24"/>
      <w:szCs w:val="22"/>
      <w:lang w:val="en-US" w:eastAsia="en-US"/>
    </w:rPr>
  </w:style>
  <w:style w:type="paragraph" w:customStyle="1" w:styleId="Revision3">
    <w:name w:val="Revision3"/>
    <w:hidden/>
    <w:uiPriority w:val="99"/>
    <w:unhideWhenUsed/>
    <w:qFormat/>
    <w:rPr>
      <w:rFonts w:eastAsiaTheme="minorHAnsi" w:cstheme="minorBidi"/>
      <w:sz w:val="24"/>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image" Target="media/image1.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2.tif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nnah.eccles\OneDrive%20-%20Frontiers%20Media%20SA\Documents\Latex%20work\Sep%202022_link%20updates\Supplementary_Materi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_dlc_DocId xmlns="26005759-6815-4540-b8ea-913958d74f23">FRONDOC-1086935359-10119</_dlc_DocId>
    <_dlc_DocIdUrl xmlns="26005759-6815-4540-b8ea-913958d74f23">
      <Url>https://frontiersin.sharepoint.com/Publishing/PubOps/Production/_layouts/15/DocIdRedir.aspx?ID=FRONDOC-1086935359-10119</Url>
      <Description>FRONDOC-1086935359-10119</Description>
    </_dlc_DocIdUrl>
    <_dlc_DocIdPersistId xmlns="26005759-6815-4540-b8ea-913958d74f23">false</_dlc_DocIdPersistId>
    <Description xmlns="970c08f3-bdc0-46be-888b-e62464d9f78c" xsi:nil="true"/>
    <Lead xmlns="970c08f3-bdc0-46be-888b-e62464d9f78c">
      <UserInfo>
        <DisplayName/>
        <AccountId xsi:nil="true"/>
        <AccountType/>
      </UserInfo>
    </Lead>
    <Status xmlns="970c08f3-bdc0-46be-888b-e62464d9f78c">New</Status>
    <_Flow_SignoffStatus xmlns="970c08f3-bdc0-46be-888b-e62464d9f78c" xsi:nil="true"/>
    <SharedWithUsers xmlns="26005759-6815-4540-b8ea-913958d74f23">
      <UserInfo>
        <DisplayName/>
        <AccountId xsi:nil="true"/>
        <AccountType/>
      </UserInfo>
    </SharedWithUsers>
    <lcf76f155ced4ddcb4097134ff3c332f xmlns="970c08f3-bdc0-46be-888b-e62464d9f78c">
      <Terms xmlns="http://schemas.microsoft.com/office/infopath/2007/PartnerControls"/>
    </lcf76f155ced4ddcb4097134ff3c332f>
    <TaxCatchAll xmlns="26005759-6815-4540-b8ea-913958d74f23"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CHICAGO.XSL" StyleName="Chicago"/>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26445AF306EBB441B7A6158762C40D43" ma:contentTypeVersion="28" ma:contentTypeDescription="Create a new document." ma:contentTypeScope="" ma:versionID="885ac53139f20652f850277d10459b85">
  <xsd:schema xmlns:xsd="http://www.w3.org/2001/XMLSchema" xmlns:xs="http://www.w3.org/2001/XMLSchema" xmlns:p="http://schemas.microsoft.com/office/2006/metadata/properties" xmlns:ns2="26005759-6815-4540-b8ea-913958d74f23" xmlns:ns3="970c08f3-bdc0-46be-888b-e62464d9f78c" targetNamespace="http://schemas.microsoft.com/office/2006/metadata/properties" ma:root="true" ma:fieldsID="b20dbcea35cbef169bcf39aab5233ab6" ns2:_="" ns3:_="">
    <xsd:import namespace="26005759-6815-4540-b8ea-913958d74f23"/>
    <xsd:import namespace="970c08f3-bdc0-46be-888b-e62464d9f78c"/>
    <xsd:element name="properties">
      <xsd:complexType>
        <xsd:sequence>
          <xsd:element name="documentManagement">
            <xsd:complexType>
              <xsd:all>
                <xsd:element ref="ns2:_dlc_DocIdUrl" minOccurs="0"/>
                <xsd:element ref="ns2:_dlc_DocId"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element ref="ns3:MediaServiceDateTaken" minOccurs="0"/>
                <xsd:element ref="ns3:Status" minOccurs="0"/>
                <xsd:element ref="ns3:Lead" minOccurs="0"/>
                <xsd:element ref="ns3:Description" minOccurs="0"/>
                <xsd:element ref="ns3:_Flow_SignoffStatus" minOccurs="0"/>
                <xsd:element ref="ns3:MediaServiceOCR" minOccurs="0"/>
                <xsd:element ref="ns3:MediaServiceGenerationTime" minOccurs="0"/>
                <xsd:element ref="ns3:MediaServiceEventHashCode" minOccurs="0"/>
                <xsd:element ref="ns3:MediaServiceLoca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005759-6815-4540-b8ea-913958d74f23"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7" nillable="true" ma:displayName="Document ID Value" ma:description="The value of the document ID assigned to this item." ma:hidden="true" ma:internalName="_dlc_DocId" ma:readOnly="false">
      <xsd:simpleType>
        <xsd:restriction base="dms:Text"/>
      </xsd:simpleType>
    </xsd:element>
    <xsd:element name="_dlc_DocIdPersistId" ma:index="9" nillable="true" ma:displayName="Persist ID" ma:description="Keep ID on add." ma:hidden="true" ma:internalName="_dlc_DocIdPersistId" ma:readOnly="false">
      <xsd:simpleType>
        <xsd:restriction base="dms:Boolea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element name="TaxCatchAll" ma:index="29" nillable="true" ma:displayName="Taxonomy Catch All Column" ma:hidden="true" ma:list="{43fa7804-5c1f-47ca-a814-a80f2ff05ca7}" ma:internalName="TaxCatchAll" ma:showField="CatchAllData" ma:web="26005759-6815-4540-b8ea-913958d74f2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70c08f3-bdc0-46be-888b-e62464d9f78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hidden="true" ma:internalName="MediaServiceKeyPoints"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Status" ma:index="18" nillable="true" ma:displayName="Status" ma:default="New" ma:description="Archive function" ma:format="Dropdown" ma:internalName="Status">
      <xsd:simpleType>
        <xsd:restriction base="dms:Choice">
          <xsd:enumeration value="New"/>
          <xsd:enumeration value="Ongoing"/>
          <xsd:enumeration value="Finished"/>
        </xsd:restriction>
      </xsd:simpleType>
    </xsd:element>
    <xsd:element name="Lead" ma:index="19" nillable="true" ma:displayName="Lead" ma:format="Dropdown" ma:list="UserInfo" ma:SharePointGroup="0" ma:internalName="Le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scription" ma:index="20" nillable="true" ma:displayName="Description" ma:format="Dropdown" ma:internalName="Description">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Location" ma:index="25" nillable="true" ma:displayName="Location" ma:internalName="MediaServiceLocation" ma:readOnly="true">
      <xsd:simpleType>
        <xsd:restriction base="dms:Text"/>
      </xsd:simpleType>
    </xsd:element>
    <xsd:element name="MediaLengthInSeconds" ma:index="26" nillable="true" ma:displayName="Length (seconds)" ma:internalName="MediaLengthInSeconds" ma:readOnly="true">
      <xsd:simpleType>
        <xsd:restriction base="dms:Unknow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465d274b-74f9-43c9-a5ca-fb7fe75b76de"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2E0E22-D442-4EBE-AAA2-EDC8871E7B41}">
  <ds:schemaRefs>
    <ds:schemaRef ds:uri="http://schemas.microsoft.com/office/2006/metadata/properties"/>
    <ds:schemaRef ds:uri="http://schemas.microsoft.com/office/infopath/2007/PartnerControls"/>
    <ds:schemaRef ds:uri="26005759-6815-4540-b8ea-913958d74f23"/>
    <ds:schemaRef ds:uri="970c08f3-bdc0-46be-888b-e62464d9f78c"/>
  </ds:schemaRefs>
</ds:datastoreItem>
</file>

<file path=customXml/itemProps3.xml><?xml version="1.0" encoding="utf-8"?>
<ds:datastoreItem xmlns:ds="http://schemas.openxmlformats.org/officeDocument/2006/customXml" ds:itemID="{2558679B-78FB-42CD-A1EA-A99096AF5568}">
  <ds:schemaRefs>
    <ds:schemaRef ds:uri="http://schemas.microsoft.com/sharepoint/events"/>
  </ds:schemaRefs>
</ds:datastoreItem>
</file>

<file path=customXml/itemProps4.xml><?xml version="1.0" encoding="utf-8"?>
<ds:datastoreItem xmlns:ds="http://schemas.openxmlformats.org/officeDocument/2006/customXml" ds:itemID="{DE8ECAA1-0FA6-465D-9CE2-5B431095B7AF}">
  <ds:schemaRefs>
    <ds:schemaRef ds:uri="http://schemas.openxmlformats.org/officeDocument/2006/bibliography"/>
  </ds:schemaRefs>
</ds:datastoreItem>
</file>

<file path=customXml/itemProps5.xml><?xml version="1.0" encoding="utf-8"?>
<ds:datastoreItem xmlns:ds="http://schemas.openxmlformats.org/officeDocument/2006/customXml" ds:itemID="{A3D4929F-83D0-432F-8F82-6D4423C25F5E}">
  <ds:schemaRefs>
    <ds:schemaRef ds:uri="http://schemas.microsoft.com/sharepoint/v3/contenttype/forms"/>
  </ds:schemaRefs>
</ds:datastoreItem>
</file>

<file path=customXml/itemProps6.xml><?xml version="1.0" encoding="utf-8"?>
<ds:datastoreItem xmlns:ds="http://schemas.openxmlformats.org/officeDocument/2006/customXml" ds:itemID="{DFF441E3-103C-4487-877D-08CD22337C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005759-6815-4540-b8ea-913958d74f23"/>
    <ds:schemaRef ds:uri="970c08f3-bdc0-46be-888b-e62464d9f7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Supplementary_Material.dotx</Template>
  <TotalTime>1</TotalTime>
  <Pages>8</Pages>
  <Words>831</Words>
  <Characters>4739</Characters>
  <Application>Microsoft Office Word</Application>
  <DocSecurity>0</DocSecurity>
  <Lines>39</Lines>
  <Paragraphs>11</Paragraphs>
  <ScaleCrop>false</ScaleCrop>
  <Company/>
  <LinksUpToDate>false</LinksUpToDate>
  <CharactersWithSpaces>5559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Frontiers</dc:creator>
  <cp:lastModifiedBy>Shaw, Grace</cp:lastModifiedBy>
  <cp:revision>2</cp:revision>
  <cp:lastPrinted>2013-10-03T12:51:00Z</cp:lastPrinted>
  <dcterms:created xsi:type="dcterms:W3CDTF">2023-12-27T03:09:00Z</dcterms:created>
  <dcterms:modified xsi:type="dcterms:W3CDTF">2023-12-27T03:09:00Z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0x01010026445AF306EBB441B7A6158762C40D43</vt:lpwstr>
  </property>
  <property fmtid="{D5CDD505-2E9C-101B-9397-08002B2CF9AE}" pid="4" name="ICV">
    <vt:lpwstr>3EE92DF1D921440793311248B5544F30_13</vt:lpwstr>
  </property>
  <property fmtid="{D5CDD505-2E9C-101B-9397-08002B2CF9AE}" pid="5" name="KSOProductBuildVer">
    <vt:lpwstr>2052-12.1.0.15712</vt:lpwstr>
  </property>
  <property fmtid="{D5CDD505-2E9C-101B-9397-08002B2CF9AE}" pid="6" name="MediaServiceImageTags">
    <vt:lpwstr/>
  </property>
  <property fmtid="{D5CDD505-2E9C-101B-9397-08002B2CF9AE}" pid="7" name="Order">
    <vt:r8>1011900</vt:r8>
  </property>
  <property fmtid="{D5CDD505-2E9C-101B-9397-08002B2CF9AE}" pid="8" name="TemplateUrl">
    <vt:lpwstr/>
  </property>
  <property fmtid="{D5CDD505-2E9C-101B-9397-08002B2CF9AE}" pid="9" name="xd_ProgID">
    <vt:lpwstr/>
  </property>
  <property fmtid="{D5CDD505-2E9C-101B-9397-08002B2CF9AE}" pid="10" name="xd_Signature">
    <vt:bool>false</vt:bool>
  </property>
  <property fmtid="{D5CDD505-2E9C-101B-9397-08002B2CF9AE}" pid="11" name="_dlc_DocIdItemGuid">
    <vt:lpwstr>f82bb101-9b00-462e-af01-9a0e7ec06274</vt:lpwstr>
  </property>
  <property fmtid="{D5CDD505-2E9C-101B-9397-08002B2CF9AE}" pid="12" name="ClassificationContentMarkingFooterShapeIds">
    <vt:lpwstr>60bbeb50,24ac4ba,4cc5ab57</vt:lpwstr>
  </property>
  <property fmtid="{D5CDD505-2E9C-101B-9397-08002B2CF9AE}" pid="13" name="ClassificationContentMarkingFooterFontProps">
    <vt:lpwstr>#0078d7,9,Rockwell</vt:lpwstr>
  </property>
  <property fmtid="{D5CDD505-2E9C-101B-9397-08002B2CF9AE}" pid="14" name="ClassificationContentMarkingFooterText">
    <vt:lpwstr>Information Classification: General</vt:lpwstr>
  </property>
  <property fmtid="{D5CDD505-2E9C-101B-9397-08002B2CF9AE}" pid="15" name="MSIP_Label_2bbab825-a111-45e4-86a1-18cee0005896_Enabled">
    <vt:lpwstr>true</vt:lpwstr>
  </property>
  <property fmtid="{D5CDD505-2E9C-101B-9397-08002B2CF9AE}" pid="16" name="MSIP_Label_2bbab825-a111-45e4-86a1-18cee0005896_SetDate">
    <vt:lpwstr>2023-12-10T22:34:13Z</vt:lpwstr>
  </property>
  <property fmtid="{D5CDD505-2E9C-101B-9397-08002B2CF9AE}" pid="17" name="MSIP_Label_2bbab825-a111-45e4-86a1-18cee0005896_Method">
    <vt:lpwstr>Standard</vt:lpwstr>
  </property>
  <property fmtid="{D5CDD505-2E9C-101B-9397-08002B2CF9AE}" pid="18" name="MSIP_Label_2bbab825-a111-45e4-86a1-18cee0005896_Name">
    <vt:lpwstr>2bbab825-a111-45e4-86a1-18cee0005896</vt:lpwstr>
  </property>
  <property fmtid="{D5CDD505-2E9C-101B-9397-08002B2CF9AE}" pid="19" name="MSIP_Label_2bbab825-a111-45e4-86a1-18cee0005896_SiteId">
    <vt:lpwstr>2567d566-604c-408a-8a60-55d0dc9d9d6b</vt:lpwstr>
  </property>
  <property fmtid="{D5CDD505-2E9C-101B-9397-08002B2CF9AE}" pid="20" name="MSIP_Label_2bbab825-a111-45e4-86a1-18cee0005896_ActionId">
    <vt:lpwstr>836b6248-68a7-4953-90d1-70891bac9ba5</vt:lpwstr>
  </property>
  <property fmtid="{D5CDD505-2E9C-101B-9397-08002B2CF9AE}" pid="21" name="MSIP_Label_2bbab825-a111-45e4-86a1-18cee0005896_ContentBits">
    <vt:lpwstr>2</vt:lpwstr>
  </property>
</Properties>
</file>